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43" w:rsidRPr="00AA3931" w:rsidRDefault="00B70BFA" w:rsidP="00B70BFA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AA3931">
        <w:rPr>
          <w:rFonts w:ascii="Verdana" w:hAnsi="Verdana" w:cs="Times New Roman"/>
          <w:sz w:val="20"/>
          <w:szCs w:val="20"/>
        </w:rPr>
        <w:t>ИЗВЕЩЕНИЕ О ПРОВЕДЕНИИ ОТКРЫТОГО АУКЦИОНА</w:t>
      </w:r>
    </w:p>
    <w:p w:rsidR="00B70BFA" w:rsidRPr="00AA3931" w:rsidRDefault="00B70BFA" w:rsidP="00B70BFA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AA3931">
        <w:rPr>
          <w:rFonts w:ascii="Verdana" w:hAnsi="Verdana" w:cs="Times New Roman"/>
          <w:sz w:val="20"/>
          <w:szCs w:val="20"/>
        </w:rPr>
        <w:t>ПО ПРОДАЖЕ ЗЕМЕЛЬНЫХ УЧАСТКОВ В ЧАСТНУЮ СОБСТВЕННОСТЬ</w:t>
      </w:r>
    </w:p>
    <w:p w:rsidR="00B70BFA" w:rsidRPr="00AA3931" w:rsidRDefault="00B70BFA" w:rsidP="00BA6C4A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AA3931">
        <w:rPr>
          <w:rFonts w:ascii="Verdana" w:hAnsi="Verdana" w:cs="Times New Roman"/>
          <w:sz w:val="20"/>
          <w:szCs w:val="20"/>
        </w:rPr>
        <w:t xml:space="preserve">Организатор аукциона: </w:t>
      </w:r>
      <w:r w:rsidRPr="00AA3931">
        <w:rPr>
          <w:rFonts w:ascii="Verdana" w:hAnsi="Verdana" w:cs="Times New Roman"/>
          <w:b/>
          <w:sz w:val="20"/>
          <w:szCs w:val="20"/>
        </w:rPr>
        <w:t>Людвиновский сельский исполнительный комитет</w:t>
      </w:r>
      <w:r w:rsidR="00B61BA6" w:rsidRPr="00AA3931">
        <w:rPr>
          <w:rFonts w:ascii="Verdana" w:hAnsi="Verdana" w:cs="Times New Roman"/>
          <w:b/>
          <w:sz w:val="20"/>
          <w:szCs w:val="20"/>
        </w:rPr>
        <w:t>,</w:t>
      </w:r>
    </w:p>
    <w:p w:rsidR="00B61BA6" w:rsidRPr="00AA3931" w:rsidRDefault="00B61BA6" w:rsidP="00BA6C4A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AA3931">
        <w:rPr>
          <w:rFonts w:ascii="Verdana" w:hAnsi="Verdana" w:cs="Times New Roman"/>
          <w:sz w:val="20"/>
          <w:szCs w:val="20"/>
        </w:rPr>
        <w:t xml:space="preserve">222459, </w:t>
      </w:r>
      <w:r w:rsidRPr="00AA3931">
        <w:rPr>
          <w:rFonts w:ascii="Verdana" w:hAnsi="Verdana" w:cs="Times New Roman"/>
          <w:b/>
          <w:sz w:val="20"/>
          <w:szCs w:val="20"/>
        </w:rPr>
        <w:t>д. Костеневичи, ул. Центральная, д. 8,</w:t>
      </w:r>
      <w:r w:rsidRPr="00AA3931">
        <w:rPr>
          <w:rFonts w:ascii="Verdana" w:hAnsi="Verdana" w:cs="Times New Roman"/>
          <w:sz w:val="20"/>
          <w:szCs w:val="20"/>
        </w:rPr>
        <w:t xml:space="preserve"> Минская область, Вилейский район</w:t>
      </w:r>
      <w:r w:rsidRPr="00AA3931">
        <w:rPr>
          <w:rFonts w:ascii="Verdana" w:hAnsi="Verdana" w:cs="Times New Roman"/>
          <w:b/>
          <w:sz w:val="20"/>
          <w:szCs w:val="20"/>
        </w:rPr>
        <w:t xml:space="preserve">, </w:t>
      </w:r>
      <w:r w:rsidRPr="00AA3931">
        <w:rPr>
          <w:rFonts w:ascii="Verdana" w:hAnsi="Verdana" w:cs="Times New Roman"/>
          <w:sz w:val="20"/>
          <w:szCs w:val="20"/>
        </w:rPr>
        <w:t>тел. 8</w:t>
      </w:r>
      <w:r w:rsidR="00086588">
        <w:rPr>
          <w:rFonts w:ascii="Verdana" w:hAnsi="Verdana" w:cs="Times New Roman"/>
          <w:sz w:val="20"/>
          <w:szCs w:val="20"/>
        </w:rPr>
        <w:t xml:space="preserve"> </w:t>
      </w:r>
      <w:r w:rsidRPr="00AA3931">
        <w:rPr>
          <w:rFonts w:ascii="Verdana" w:hAnsi="Verdana" w:cs="Times New Roman"/>
          <w:sz w:val="20"/>
          <w:szCs w:val="20"/>
        </w:rPr>
        <w:t>(01771) 63328, 63329.</w:t>
      </w:r>
    </w:p>
    <w:p w:rsidR="00B61BA6" w:rsidRPr="00AA3931" w:rsidRDefault="00B61BA6" w:rsidP="00BA6C4A">
      <w:pPr>
        <w:spacing w:after="0"/>
        <w:ind w:left="3540" w:firstLine="708"/>
        <w:rPr>
          <w:rFonts w:ascii="Verdana" w:hAnsi="Verdana" w:cs="Times New Roman"/>
          <w:sz w:val="20"/>
          <w:szCs w:val="20"/>
        </w:rPr>
      </w:pPr>
      <w:r w:rsidRPr="00AA3931">
        <w:rPr>
          <w:rFonts w:ascii="Verdana" w:hAnsi="Verdana" w:cs="Times New Roman"/>
          <w:sz w:val="20"/>
          <w:szCs w:val="20"/>
        </w:rPr>
        <w:t>Дата проведения</w:t>
      </w:r>
      <w:r w:rsidR="00BA6C4A" w:rsidRPr="00AA3931">
        <w:rPr>
          <w:rFonts w:ascii="Verdana" w:hAnsi="Verdana" w:cs="Times New Roman"/>
          <w:sz w:val="20"/>
          <w:szCs w:val="20"/>
        </w:rPr>
        <w:t xml:space="preserve">: </w:t>
      </w:r>
      <w:r w:rsidR="00522C5B">
        <w:rPr>
          <w:rFonts w:ascii="Verdana" w:hAnsi="Verdana" w:cs="Times New Roman"/>
          <w:b/>
          <w:sz w:val="20"/>
          <w:szCs w:val="20"/>
        </w:rPr>
        <w:t>23</w:t>
      </w:r>
      <w:r w:rsidR="00BA6C4A" w:rsidRPr="00AA3931">
        <w:rPr>
          <w:rFonts w:ascii="Verdana" w:hAnsi="Verdana" w:cs="Times New Roman"/>
          <w:b/>
          <w:sz w:val="20"/>
          <w:szCs w:val="20"/>
        </w:rPr>
        <w:t xml:space="preserve"> </w:t>
      </w:r>
      <w:r w:rsidR="00522C5B">
        <w:rPr>
          <w:rFonts w:ascii="Verdana" w:hAnsi="Verdana" w:cs="Times New Roman"/>
          <w:b/>
          <w:sz w:val="20"/>
          <w:szCs w:val="20"/>
        </w:rPr>
        <w:t>июня</w:t>
      </w:r>
      <w:r w:rsidR="00BA6C4A" w:rsidRPr="00AA3931">
        <w:rPr>
          <w:rFonts w:ascii="Verdana" w:hAnsi="Verdana" w:cs="Times New Roman"/>
          <w:b/>
          <w:sz w:val="20"/>
          <w:szCs w:val="20"/>
        </w:rPr>
        <w:t xml:space="preserve"> 2022 года в 10.</w:t>
      </w:r>
      <w:r w:rsidR="00522C5B">
        <w:rPr>
          <w:rFonts w:ascii="Verdana" w:hAnsi="Verdana" w:cs="Times New Roman"/>
          <w:b/>
          <w:sz w:val="20"/>
          <w:szCs w:val="20"/>
        </w:rPr>
        <w:t>3</w:t>
      </w:r>
      <w:r w:rsidR="00BA6C4A" w:rsidRPr="00AA3931">
        <w:rPr>
          <w:rFonts w:ascii="Verdana" w:hAnsi="Verdana" w:cs="Times New Roman"/>
          <w:b/>
          <w:sz w:val="20"/>
          <w:szCs w:val="20"/>
        </w:rPr>
        <w:t>0</w:t>
      </w:r>
      <w:r w:rsidR="00AA3931" w:rsidRPr="00AA3931">
        <w:rPr>
          <w:rFonts w:ascii="Verdana" w:hAnsi="Verdana" w:cs="Times New Roman"/>
          <w:b/>
          <w:sz w:val="20"/>
          <w:szCs w:val="20"/>
        </w:rPr>
        <w:t xml:space="preserve"> (зал заседаний)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1276"/>
        <w:gridCol w:w="2126"/>
        <w:gridCol w:w="1276"/>
        <w:gridCol w:w="992"/>
        <w:gridCol w:w="2487"/>
      </w:tblGrid>
      <w:tr w:rsidR="00AA3931" w:rsidTr="00AA3931">
        <w:tc>
          <w:tcPr>
            <w:tcW w:w="709" w:type="dxa"/>
          </w:tcPr>
          <w:p w:rsidR="00BA6C4A" w:rsidRPr="00AA3931" w:rsidRDefault="00BA6C4A" w:rsidP="00BA6C4A">
            <w:pPr>
              <w:jc w:val="center"/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№</w:t>
            </w:r>
          </w:p>
          <w:p w:rsidR="00BA6C4A" w:rsidRPr="00AA3931" w:rsidRDefault="00BA6C4A" w:rsidP="00BA6C4A">
            <w:pPr>
              <w:jc w:val="center"/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лота</w:t>
            </w:r>
          </w:p>
        </w:tc>
        <w:tc>
          <w:tcPr>
            <w:tcW w:w="2977" w:type="dxa"/>
          </w:tcPr>
          <w:p w:rsidR="00BA6C4A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Адрес земельного участка</w:t>
            </w:r>
          </w:p>
        </w:tc>
        <w:tc>
          <w:tcPr>
            <w:tcW w:w="2977" w:type="dxa"/>
          </w:tcPr>
          <w:p w:rsidR="00BA6C4A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Кадастровый номер; целевое назначение</w:t>
            </w:r>
          </w:p>
        </w:tc>
        <w:tc>
          <w:tcPr>
            <w:tcW w:w="1276" w:type="dxa"/>
          </w:tcPr>
          <w:p w:rsidR="00BA6C4A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Площадь земельного участка, га</w:t>
            </w:r>
          </w:p>
        </w:tc>
        <w:tc>
          <w:tcPr>
            <w:tcW w:w="2126" w:type="dxa"/>
          </w:tcPr>
          <w:p w:rsidR="00BA6C4A" w:rsidRPr="00AA3931" w:rsidRDefault="00AA3931" w:rsidP="008A7D75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 xml:space="preserve">Инженерная инфраструктура </w:t>
            </w:r>
          </w:p>
        </w:tc>
        <w:tc>
          <w:tcPr>
            <w:tcW w:w="1276" w:type="dxa"/>
          </w:tcPr>
          <w:p w:rsid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Начальная</w:t>
            </w:r>
          </w:p>
          <w:p w:rsidR="00BA6C4A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 xml:space="preserve"> цена, руб.</w:t>
            </w:r>
          </w:p>
        </w:tc>
        <w:tc>
          <w:tcPr>
            <w:tcW w:w="992" w:type="dxa"/>
          </w:tcPr>
          <w:p w:rsid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Задаток,</w:t>
            </w:r>
          </w:p>
          <w:p w:rsidR="00BA6C4A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 xml:space="preserve"> руб.</w:t>
            </w:r>
          </w:p>
        </w:tc>
        <w:tc>
          <w:tcPr>
            <w:tcW w:w="2487" w:type="dxa"/>
          </w:tcPr>
          <w:p w:rsidR="00BA6C4A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Затраты, руб</w:t>
            </w:r>
            <w:r>
              <w:rPr>
                <w:rFonts w:ascii="Verdana" w:hAnsi="Verdana" w:cs="Times New Roman"/>
                <w:sz w:val="17"/>
                <w:szCs w:val="17"/>
              </w:rPr>
              <w:t>.</w:t>
            </w:r>
          </w:p>
        </w:tc>
      </w:tr>
      <w:tr w:rsidR="00AA3931" w:rsidRPr="00AA3931" w:rsidTr="00AA3931">
        <w:tc>
          <w:tcPr>
            <w:tcW w:w="709" w:type="dxa"/>
          </w:tcPr>
          <w:p w:rsidR="00BA6C4A" w:rsidRPr="00AA3931" w:rsidRDefault="00AA3931" w:rsidP="00BA6C4A">
            <w:pPr>
              <w:jc w:val="center"/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1</w:t>
            </w:r>
          </w:p>
        </w:tc>
        <w:tc>
          <w:tcPr>
            <w:tcW w:w="2977" w:type="dxa"/>
          </w:tcPr>
          <w:p w:rsidR="00AA3931" w:rsidRDefault="00AA3931" w:rsidP="00BA6C4A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Минская обл.,</w:t>
            </w:r>
          </w:p>
          <w:p w:rsidR="00AA3931" w:rsidRDefault="00AA3931" w:rsidP="00BA6C4A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Вилейский р-н,</w:t>
            </w:r>
          </w:p>
          <w:p w:rsidR="00AA3931" w:rsidRDefault="00AA3931" w:rsidP="00BA6C4A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Людвиновский с/с,</w:t>
            </w:r>
          </w:p>
          <w:p w:rsidR="00BA6C4A" w:rsidRDefault="00AA3931" w:rsidP="00BA6C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аг. Людвиново</w:t>
            </w:r>
          </w:p>
        </w:tc>
        <w:tc>
          <w:tcPr>
            <w:tcW w:w="2977" w:type="dxa"/>
          </w:tcPr>
          <w:p w:rsidR="00BA6C4A" w:rsidRDefault="00AA3931" w:rsidP="00BA6C4A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621383413101000236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;</w:t>
            </w:r>
          </w:p>
          <w:p w:rsidR="00AA3931" w:rsidRDefault="00AA3931" w:rsidP="00AA39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строительств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о</w:t>
            </w: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и обслуживани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е</w:t>
            </w: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одноквартирного жилого дома</w:t>
            </w:r>
          </w:p>
        </w:tc>
        <w:tc>
          <w:tcPr>
            <w:tcW w:w="1276" w:type="dxa"/>
          </w:tcPr>
          <w:p w:rsidR="00BA6C4A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0,15</w:t>
            </w:r>
          </w:p>
        </w:tc>
        <w:tc>
          <w:tcPr>
            <w:tcW w:w="2126" w:type="dxa"/>
          </w:tcPr>
          <w:p w:rsidR="00AA3931" w:rsidRDefault="00905237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Возможность подключения к с</w:t>
            </w:r>
            <w:r w:rsidR="00AA3931">
              <w:rPr>
                <w:rFonts w:ascii="Verdana" w:hAnsi="Verdana" w:cs="Times New Roman"/>
                <w:sz w:val="17"/>
                <w:szCs w:val="17"/>
              </w:rPr>
              <w:t>ети</w:t>
            </w:r>
          </w:p>
          <w:p w:rsidR="00BA6C4A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электроснабжения,</w:t>
            </w:r>
          </w:p>
          <w:p w:rsid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 xml:space="preserve">газоснабжения, </w:t>
            </w:r>
          </w:p>
          <w:p w:rsidR="00AA3931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водоснабжения</w:t>
            </w:r>
          </w:p>
        </w:tc>
        <w:tc>
          <w:tcPr>
            <w:tcW w:w="1276" w:type="dxa"/>
          </w:tcPr>
          <w:p w:rsidR="00BA6C4A" w:rsidRPr="00AA3931" w:rsidRDefault="00246EAE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5790,00</w:t>
            </w:r>
          </w:p>
        </w:tc>
        <w:tc>
          <w:tcPr>
            <w:tcW w:w="992" w:type="dxa"/>
          </w:tcPr>
          <w:p w:rsidR="00BA6C4A" w:rsidRPr="00AA3931" w:rsidRDefault="00246EAE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579,00</w:t>
            </w:r>
          </w:p>
        </w:tc>
        <w:tc>
          <w:tcPr>
            <w:tcW w:w="2487" w:type="dxa"/>
          </w:tcPr>
          <w:p w:rsidR="00BA6C4A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Возмещение расходов на объявление в СМИ о проведении аукциона  согласно акту выполненных работ</w:t>
            </w:r>
          </w:p>
        </w:tc>
      </w:tr>
      <w:tr w:rsidR="00AA3931" w:rsidTr="00AA3931">
        <w:trPr>
          <w:trHeight w:val="1108"/>
        </w:trPr>
        <w:tc>
          <w:tcPr>
            <w:tcW w:w="709" w:type="dxa"/>
          </w:tcPr>
          <w:p w:rsidR="00BA6C4A" w:rsidRPr="00AA3931" w:rsidRDefault="00AA3931" w:rsidP="00BA6C4A">
            <w:pPr>
              <w:jc w:val="center"/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2</w:t>
            </w:r>
          </w:p>
        </w:tc>
        <w:tc>
          <w:tcPr>
            <w:tcW w:w="2977" w:type="dxa"/>
          </w:tcPr>
          <w:p w:rsidR="00AA3931" w:rsidRDefault="00AA3931" w:rsidP="00AA3931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Минская обл.,</w:t>
            </w:r>
          </w:p>
          <w:p w:rsidR="00AA3931" w:rsidRDefault="00AA3931" w:rsidP="00AA3931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Вилейский р-н, Людвиновский с/с,</w:t>
            </w:r>
          </w:p>
          <w:p w:rsidR="00AA3931" w:rsidRDefault="00AA3931" w:rsidP="00AA3931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аг. Людвиново, </w:t>
            </w:r>
          </w:p>
          <w:p w:rsidR="00BA6C4A" w:rsidRDefault="00AA3931" w:rsidP="00522C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участок №</w:t>
            </w:r>
            <w:r w:rsidR="00522C5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2977" w:type="dxa"/>
          </w:tcPr>
          <w:p w:rsidR="00AA3931" w:rsidRPr="00D457CA" w:rsidRDefault="00AA3931" w:rsidP="00AA393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62138341310100024</w:t>
            </w:r>
            <w:r w:rsidR="00522C5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  <w:p w:rsidR="00BA6C4A" w:rsidRDefault="00AA3931" w:rsidP="00BA6C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строительств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о</w:t>
            </w: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и обслуживани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е</w:t>
            </w: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одноквартирного жилого дома</w:t>
            </w:r>
          </w:p>
        </w:tc>
        <w:tc>
          <w:tcPr>
            <w:tcW w:w="1276" w:type="dxa"/>
          </w:tcPr>
          <w:p w:rsidR="00BA6C4A" w:rsidRDefault="00AA3931" w:rsidP="00522C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0.149</w:t>
            </w:r>
            <w:r w:rsidR="00522C5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26" w:type="dxa"/>
          </w:tcPr>
          <w:p w:rsidR="00AA3931" w:rsidRDefault="00905237" w:rsidP="00AA3931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 xml:space="preserve">Возможность подключения к сети </w:t>
            </w:r>
            <w:r w:rsidR="00AA3931">
              <w:rPr>
                <w:rFonts w:ascii="Verdana" w:hAnsi="Verdana" w:cs="Times New Roman"/>
                <w:sz w:val="17"/>
                <w:szCs w:val="17"/>
              </w:rPr>
              <w:t>электроснабжения,</w:t>
            </w:r>
          </w:p>
          <w:p w:rsidR="00AA3931" w:rsidRDefault="00AA3931" w:rsidP="00AA3931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 xml:space="preserve">газоснабжения, </w:t>
            </w:r>
          </w:p>
          <w:p w:rsidR="00BA6C4A" w:rsidRDefault="00AA3931" w:rsidP="00AA39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водоснабжения</w:t>
            </w:r>
          </w:p>
        </w:tc>
        <w:tc>
          <w:tcPr>
            <w:tcW w:w="1276" w:type="dxa"/>
          </w:tcPr>
          <w:p w:rsidR="00BA6C4A" w:rsidRPr="00246EAE" w:rsidRDefault="00246EAE" w:rsidP="00522C5B">
            <w:pPr>
              <w:rPr>
                <w:rFonts w:ascii="Verdana" w:hAnsi="Verdana" w:cs="Times New Roman"/>
                <w:sz w:val="17"/>
                <w:szCs w:val="17"/>
              </w:rPr>
            </w:pPr>
            <w:r w:rsidRPr="00246EAE">
              <w:rPr>
                <w:rFonts w:ascii="Verdana" w:hAnsi="Verdana" w:cs="Times New Roman"/>
                <w:sz w:val="17"/>
                <w:szCs w:val="17"/>
              </w:rPr>
              <w:t>577</w:t>
            </w:r>
            <w:r w:rsidR="00522C5B">
              <w:rPr>
                <w:rFonts w:ascii="Verdana" w:hAnsi="Verdana" w:cs="Times New Roman"/>
                <w:sz w:val="17"/>
                <w:szCs w:val="17"/>
              </w:rPr>
              <w:t>5</w:t>
            </w:r>
            <w:r w:rsidRPr="00246EAE">
              <w:rPr>
                <w:rFonts w:ascii="Verdana" w:hAnsi="Verdana" w:cs="Times New Roman"/>
                <w:sz w:val="17"/>
                <w:szCs w:val="17"/>
              </w:rPr>
              <w:t>,</w:t>
            </w:r>
            <w:r w:rsidR="00522C5B">
              <w:rPr>
                <w:rFonts w:ascii="Verdana" w:hAnsi="Verdana" w:cs="Times New Roman"/>
                <w:sz w:val="17"/>
                <w:szCs w:val="17"/>
              </w:rPr>
              <w:t>0</w:t>
            </w:r>
            <w:r w:rsidRPr="00246EAE">
              <w:rPr>
                <w:rFonts w:ascii="Verdana" w:hAnsi="Verdana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BA6C4A" w:rsidRPr="00246EAE" w:rsidRDefault="00246EAE" w:rsidP="00CA388E">
            <w:pPr>
              <w:rPr>
                <w:rFonts w:ascii="Verdana" w:hAnsi="Verdana" w:cs="Times New Roman"/>
                <w:sz w:val="17"/>
                <w:szCs w:val="17"/>
              </w:rPr>
            </w:pPr>
            <w:r w:rsidRPr="00246EAE">
              <w:rPr>
                <w:rFonts w:ascii="Verdana" w:hAnsi="Verdana" w:cs="Times New Roman"/>
                <w:sz w:val="17"/>
                <w:szCs w:val="17"/>
              </w:rPr>
              <w:t>57</w:t>
            </w:r>
            <w:r w:rsidR="00CA388E">
              <w:rPr>
                <w:rFonts w:ascii="Verdana" w:hAnsi="Verdana" w:cs="Times New Roman"/>
                <w:sz w:val="17"/>
                <w:szCs w:val="17"/>
              </w:rPr>
              <w:t>7</w:t>
            </w:r>
            <w:r w:rsidRPr="00246EAE">
              <w:rPr>
                <w:rFonts w:ascii="Verdana" w:hAnsi="Verdana" w:cs="Times New Roman"/>
                <w:sz w:val="17"/>
                <w:szCs w:val="17"/>
              </w:rPr>
              <w:t>,</w:t>
            </w:r>
            <w:r w:rsidR="00CA388E">
              <w:rPr>
                <w:rFonts w:ascii="Verdana" w:hAnsi="Verdana" w:cs="Times New Roman"/>
                <w:sz w:val="17"/>
                <w:szCs w:val="17"/>
              </w:rPr>
              <w:t>5</w:t>
            </w:r>
            <w:r w:rsidR="00522C5B">
              <w:rPr>
                <w:rFonts w:ascii="Verdana" w:hAnsi="Verdana" w:cs="Times New Roman"/>
                <w:sz w:val="17"/>
                <w:szCs w:val="17"/>
              </w:rPr>
              <w:t>0</w:t>
            </w:r>
          </w:p>
        </w:tc>
        <w:tc>
          <w:tcPr>
            <w:tcW w:w="2487" w:type="dxa"/>
          </w:tcPr>
          <w:p w:rsidR="00BA6C4A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Возмещение расходов на объявление в СМИ о проведении аукциона  согласно акту выполненных работ</w:t>
            </w:r>
          </w:p>
        </w:tc>
      </w:tr>
    </w:tbl>
    <w:p w:rsidR="00AA3931" w:rsidRDefault="00AA3931" w:rsidP="00AA3931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AA3931">
        <w:rPr>
          <w:rFonts w:ascii="Verdana" w:hAnsi="Verdana" w:cs="Times New Roman"/>
          <w:sz w:val="17"/>
          <w:szCs w:val="17"/>
        </w:rPr>
        <w:t>Задаток для участия в открытом аукционе перечисляется на расчетный счет BY18AK</w:t>
      </w:r>
      <w:r w:rsidRPr="00AA3931">
        <w:rPr>
          <w:rFonts w:ascii="Verdana" w:hAnsi="Verdana" w:cs="Times New Roman"/>
          <w:sz w:val="17"/>
          <w:szCs w:val="17"/>
          <w:lang w:val="en-US"/>
        </w:rPr>
        <w:t>BB</w:t>
      </w:r>
      <w:r w:rsidRPr="00AA3931">
        <w:rPr>
          <w:rFonts w:ascii="Verdana" w:hAnsi="Verdana" w:cs="Times New Roman"/>
          <w:sz w:val="17"/>
          <w:szCs w:val="17"/>
        </w:rPr>
        <w:t>36006130603250000000,ОАО «АСБ Беларусбанк» в г.Минск,</w:t>
      </w:r>
      <w:bookmarkStart w:id="0" w:name="_GoBack"/>
      <w:bookmarkEnd w:id="0"/>
      <w:r w:rsidR="00905237">
        <w:rPr>
          <w:rFonts w:ascii="Verdana" w:hAnsi="Verdana" w:cs="Times New Roman"/>
          <w:sz w:val="17"/>
          <w:szCs w:val="17"/>
        </w:rPr>
        <w:t xml:space="preserve"> </w:t>
      </w:r>
      <w:r w:rsidRPr="00AA3931">
        <w:rPr>
          <w:rFonts w:ascii="Verdana" w:hAnsi="Verdana" w:cs="Times New Roman"/>
          <w:sz w:val="17"/>
          <w:szCs w:val="17"/>
        </w:rPr>
        <w:t xml:space="preserve">БИК </w:t>
      </w:r>
      <w:r w:rsidRPr="00AA3931">
        <w:rPr>
          <w:rFonts w:ascii="Verdana" w:hAnsi="Verdana" w:cs="Times New Roman"/>
          <w:sz w:val="17"/>
          <w:szCs w:val="17"/>
          <w:lang w:val="en-US"/>
        </w:rPr>
        <w:t>AKBBBY</w:t>
      </w:r>
      <w:r w:rsidRPr="00AA3931">
        <w:rPr>
          <w:rFonts w:ascii="Verdana" w:hAnsi="Verdana" w:cs="Times New Roman"/>
          <w:sz w:val="17"/>
          <w:szCs w:val="17"/>
        </w:rPr>
        <w:t>2</w:t>
      </w:r>
      <w:r w:rsidRPr="00AA3931">
        <w:rPr>
          <w:rFonts w:ascii="Verdana" w:hAnsi="Verdana" w:cs="Times New Roman"/>
          <w:sz w:val="17"/>
          <w:szCs w:val="17"/>
          <w:lang w:val="en-US"/>
        </w:rPr>
        <w:t>X</w:t>
      </w:r>
      <w:r w:rsidRPr="00AA3931">
        <w:rPr>
          <w:rFonts w:ascii="Verdana" w:hAnsi="Verdana" w:cs="Times New Roman"/>
          <w:sz w:val="17"/>
          <w:szCs w:val="17"/>
        </w:rPr>
        <w:t>, УНП 600537220, ОКПО 04432142, код платежа 04901,</w:t>
      </w:r>
      <w:r w:rsidR="00905237">
        <w:rPr>
          <w:rFonts w:ascii="Verdana" w:hAnsi="Verdana" w:cs="Times New Roman"/>
          <w:sz w:val="17"/>
          <w:szCs w:val="17"/>
        </w:rPr>
        <w:t>получатель платежа</w:t>
      </w:r>
      <w:r w:rsidRPr="00AA3931">
        <w:rPr>
          <w:rFonts w:ascii="Verdana" w:hAnsi="Verdana" w:cs="Times New Roman"/>
          <w:sz w:val="17"/>
          <w:szCs w:val="17"/>
        </w:rPr>
        <w:t xml:space="preserve"> Людвиновский сельский исполнительный комитет</w:t>
      </w:r>
      <w:r>
        <w:rPr>
          <w:rFonts w:ascii="Verdana" w:hAnsi="Verdana" w:cs="Times New Roman"/>
          <w:sz w:val="17"/>
          <w:szCs w:val="17"/>
        </w:rPr>
        <w:t>.</w:t>
      </w:r>
    </w:p>
    <w:p w:rsidR="00AA3931" w:rsidRPr="00AA3931" w:rsidRDefault="00AA3931" w:rsidP="00AA393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AA3931">
        <w:rPr>
          <w:rFonts w:ascii="Verdana" w:hAnsi="Verdana"/>
          <w:spacing w:val="-1"/>
          <w:sz w:val="17"/>
          <w:szCs w:val="17"/>
        </w:rPr>
        <w:t>Гражданину необходимо предоставить</w:t>
      </w:r>
      <w:r w:rsidR="00086588">
        <w:rPr>
          <w:rFonts w:ascii="Verdana" w:hAnsi="Verdana"/>
          <w:spacing w:val="-1"/>
          <w:sz w:val="17"/>
          <w:szCs w:val="17"/>
        </w:rPr>
        <w:t xml:space="preserve"> </w:t>
      </w:r>
      <w:r w:rsidRPr="00AA3931">
        <w:rPr>
          <w:rFonts w:ascii="Verdana" w:hAnsi="Verdana"/>
          <w:spacing w:val="-1"/>
          <w:sz w:val="17"/>
          <w:szCs w:val="17"/>
        </w:rPr>
        <w:t xml:space="preserve">- заверенную банком копию платежного документа, подтверждающего внесение </w:t>
      </w:r>
      <w:r w:rsidRPr="00AA3931">
        <w:rPr>
          <w:rFonts w:ascii="Verdana" w:hAnsi="Verdana"/>
          <w:sz w:val="17"/>
          <w:szCs w:val="17"/>
        </w:rPr>
        <w:t>задатка, копия документа, содержащего идентификационные сведения, без нотариального засвидетельствования; представителю гражданина- нотариально удостоверенная доверенность,</w:t>
      </w:r>
      <w:r w:rsidRPr="00AA3931">
        <w:rPr>
          <w:rFonts w:ascii="Verdana" w:hAnsi="Verdana"/>
          <w:spacing w:val="-1"/>
          <w:sz w:val="17"/>
          <w:szCs w:val="17"/>
        </w:rPr>
        <w:t xml:space="preserve"> заверенную банком копию платежного документа, подтверждающего внесение </w:t>
      </w:r>
      <w:r w:rsidRPr="00AA3931">
        <w:rPr>
          <w:rFonts w:ascii="Verdana" w:hAnsi="Verdana"/>
          <w:sz w:val="17"/>
          <w:szCs w:val="17"/>
        </w:rPr>
        <w:t>задатка</w:t>
      </w:r>
      <w:r w:rsidR="00246EAE">
        <w:rPr>
          <w:rFonts w:ascii="Verdana" w:hAnsi="Verdana"/>
          <w:sz w:val="17"/>
          <w:szCs w:val="17"/>
        </w:rPr>
        <w:t>.</w:t>
      </w:r>
    </w:p>
    <w:p w:rsidR="00AA3931" w:rsidRDefault="00AA3931" w:rsidP="00AA3931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 xml:space="preserve">Прием документов осуществляется с </w:t>
      </w:r>
      <w:r w:rsidR="00246EAE">
        <w:rPr>
          <w:rFonts w:ascii="Verdana" w:hAnsi="Verdana" w:cs="Times New Roman"/>
          <w:sz w:val="17"/>
          <w:szCs w:val="17"/>
        </w:rPr>
        <w:t>даты опубликования объявления</w:t>
      </w:r>
      <w:r>
        <w:rPr>
          <w:rFonts w:ascii="Verdana" w:hAnsi="Verdana" w:cs="Times New Roman"/>
          <w:sz w:val="17"/>
          <w:szCs w:val="17"/>
        </w:rPr>
        <w:t xml:space="preserve"> по </w:t>
      </w:r>
      <w:r w:rsidR="002D6AFA">
        <w:rPr>
          <w:rFonts w:ascii="Verdana" w:hAnsi="Verdana" w:cs="Times New Roman"/>
          <w:sz w:val="17"/>
          <w:szCs w:val="17"/>
        </w:rPr>
        <w:t>17</w:t>
      </w:r>
      <w:r>
        <w:rPr>
          <w:rFonts w:ascii="Verdana" w:hAnsi="Verdana" w:cs="Times New Roman"/>
          <w:sz w:val="17"/>
          <w:szCs w:val="17"/>
        </w:rPr>
        <w:t>.0</w:t>
      </w:r>
      <w:r w:rsidR="002D6AFA">
        <w:rPr>
          <w:rFonts w:ascii="Verdana" w:hAnsi="Verdana" w:cs="Times New Roman"/>
          <w:sz w:val="17"/>
          <w:szCs w:val="17"/>
        </w:rPr>
        <w:t>6</w:t>
      </w:r>
      <w:r>
        <w:rPr>
          <w:rFonts w:ascii="Verdana" w:hAnsi="Verdana" w:cs="Times New Roman"/>
          <w:sz w:val="17"/>
          <w:szCs w:val="17"/>
        </w:rPr>
        <w:t xml:space="preserve">.2022 до 17.00. </w:t>
      </w:r>
    </w:p>
    <w:p w:rsidR="00AA3931" w:rsidRDefault="00AA3931" w:rsidP="00AA3931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Осмотр земельных участков на местности производится желающими самостоятельно в удобное для них время либо с участием представителя организатора в рабочее время (понедельник-пятница, 8.00-13.00, 14.00-17.00).</w:t>
      </w:r>
    </w:p>
    <w:p w:rsidR="00E710F9" w:rsidRDefault="00E710F9" w:rsidP="00AA3931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Открытый аукцион проводится в порядке, установленном Положением о порядке организации и проведении аукционов по продаже земельных участков в частную собственность, утвержденным постановлением Совета Министров Республики Беларусь от 26.03.2008 № 462.</w:t>
      </w:r>
    </w:p>
    <w:p w:rsidR="00E615AD" w:rsidRDefault="00E615AD" w:rsidP="00AA3931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Условия проведения аукциона-</w:t>
      </w:r>
      <w:r w:rsidR="00905237">
        <w:rPr>
          <w:rFonts w:ascii="Verdana" w:hAnsi="Verdana" w:cs="Times New Roman"/>
          <w:sz w:val="17"/>
          <w:szCs w:val="17"/>
        </w:rPr>
        <w:t xml:space="preserve"> </w:t>
      </w:r>
      <w:r>
        <w:rPr>
          <w:rFonts w:ascii="Verdana" w:hAnsi="Verdana" w:cs="Times New Roman"/>
          <w:sz w:val="17"/>
          <w:szCs w:val="17"/>
        </w:rPr>
        <w:t>наличие не менее двух участников.</w:t>
      </w:r>
    </w:p>
    <w:p w:rsidR="00231C80" w:rsidRPr="00231C80" w:rsidRDefault="00231C80" w:rsidP="00AA3931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Победителю аукциона необходимо выполнить условия, предусмотренные в решении</w:t>
      </w:r>
      <w:r w:rsidR="00AE3301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об изъятии земельного участка для проведения аукциона и предоставлении победителю аукциона либо единственному участнику несостоявшегося аукциона.</w:t>
      </w:r>
    </w:p>
    <w:p w:rsidR="00A01103" w:rsidRPr="00231C80" w:rsidRDefault="00A01103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</w:p>
    <w:sectPr w:rsidR="00A01103" w:rsidRPr="00231C80" w:rsidSect="00B70B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A"/>
    <w:rsid w:val="000145E7"/>
    <w:rsid w:val="00020C4E"/>
    <w:rsid w:val="00086588"/>
    <w:rsid w:val="00231C80"/>
    <w:rsid w:val="00246EAE"/>
    <w:rsid w:val="002D6AFA"/>
    <w:rsid w:val="00522C5B"/>
    <w:rsid w:val="00591E0A"/>
    <w:rsid w:val="008A7D75"/>
    <w:rsid w:val="00905237"/>
    <w:rsid w:val="00905F43"/>
    <w:rsid w:val="009873A7"/>
    <w:rsid w:val="00A01103"/>
    <w:rsid w:val="00A97A20"/>
    <w:rsid w:val="00AA3931"/>
    <w:rsid w:val="00AE3301"/>
    <w:rsid w:val="00AF561A"/>
    <w:rsid w:val="00B61BA6"/>
    <w:rsid w:val="00B70BFA"/>
    <w:rsid w:val="00BA6C4A"/>
    <w:rsid w:val="00CA388E"/>
    <w:rsid w:val="00E362EB"/>
    <w:rsid w:val="00E615AD"/>
    <w:rsid w:val="00E710F9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7E06"/>
  <w15:docId w15:val="{632C53B3-B31B-44B1-B0B1-CD500C27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8</cp:revision>
  <dcterms:created xsi:type="dcterms:W3CDTF">2022-05-17T07:42:00Z</dcterms:created>
  <dcterms:modified xsi:type="dcterms:W3CDTF">2022-05-17T08:12:00Z</dcterms:modified>
</cp:coreProperties>
</file>