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7D5960" w:rsidRPr="00F8295D" w:rsidTr="006D3589">
        <w:trPr>
          <w:trHeight w:val="248"/>
        </w:trPr>
        <w:tc>
          <w:tcPr>
            <w:tcW w:w="10916" w:type="dxa"/>
            <w:gridSpan w:val="2"/>
          </w:tcPr>
          <w:p w:rsidR="007D5960" w:rsidRPr="00F8295D" w:rsidRDefault="007D5960" w:rsidP="006D3589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Извещение о проведении открытого аукциона по продаже земельных участков в частную собственность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Адрес объекта и его наимено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для строительства и обслуживания одноквартирного жилого дома. Земельный участок для размещения объектов усадебной застройки, н</w:t>
            </w:r>
            <w:r w:rsidRPr="00F8295D">
              <w:rPr>
                <w:rFonts w:ascii="yandex-sans" w:hAnsi="yandex-sans"/>
                <w:color w:val="000000"/>
                <w:sz w:val="20"/>
                <w:szCs w:val="20"/>
              </w:rPr>
              <w:t>азначение земельного участка в соответствии с единой классификацией назначения объектов недвижимого имущества 1 09 02 (Строительство и обслуживание жилого дома, обслуживание зарегистрированной организацией по государственной регистрации недвижимого имущества, прав на него и сделок с ним, квартиры в блокированном жилом доме). Земельный участок расположен по адресу:</w:t>
            </w:r>
            <w:r w:rsidRPr="00F8295D">
              <w:rPr>
                <w:rFonts w:ascii="Times New Roman" w:hAnsi="Times New Roman"/>
                <w:color w:val="000080"/>
                <w:sz w:val="20"/>
                <w:szCs w:val="20"/>
              </w:rPr>
              <w:t xml:space="preserve"> </w:t>
            </w:r>
          </w:p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Лот № 1: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Минская обл.,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EA0E9A">
              <w:rPr>
                <w:rFonts w:ascii="Times New Roman" w:hAnsi="Times New Roman"/>
                <w:sz w:val="20"/>
                <w:szCs w:val="20"/>
              </w:rPr>
              <w:t>Долгиновский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с/с,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  <w:r w:rsidR="00EA0E9A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="00EA0E9A">
              <w:rPr>
                <w:rFonts w:ascii="Times New Roman" w:hAnsi="Times New Roman"/>
                <w:sz w:val="20"/>
                <w:szCs w:val="20"/>
              </w:rPr>
              <w:t>амено</w:t>
            </w:r>
            <w:proofErr w:type="spellEnd"/>
            <w:r w:rsidR="00EA0E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A0E9A">
              <w:rPr>
                <w:rFonts w:ascii="Times New Roman" w:hAnsi="Times New Roman"/>
                <w:sz w:val="20"/>
                <w:szCs w:val="20"/>
              </w:rPr>
              <w:t>ул.Школьная</w:t>
            </w:r>
            <w:proofErr w:type="spellEnd"/>
            <w:r w:rsidR="00EA0E9A">
              <w:rPr>
                <w:rFonts w:ascii="Times New Roman" w:hAnsi="Times New Roman"/>
                <w:sz w:val="20"/>
                <w:szCs w:val="20"/>
              </w:rPr>
              <w:t>, 2А, площадью 0,1472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га. (кадастровый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EA0E9A">
              <w:rPr>
                <w:rFonts w:ascii="Times New Roman" w:hAnsi="Times New Roman"/>
                <w:sz w:val="20"/>
                <w:szCs w:val="20"/>
              </w:rPr>
              <w:t>6213820002801000080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Начальная цена </w:t>
            </w:r>
            <w:r w:rsidR="00EA0E9A">
              <w:rPr>
                <w:rFonts w:ascii="Times New Roman" w:hAnsi="Times New Roman"/>
                <w:b/>
                <w:bCs/>
                <w:sz w:val="20"/>
                <w:szCs w:val="20"/>
              </w:rPr>
              <w:t>2001,92</w:t>
            </w: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bCs/>
                <w:color w:val="000080"/>
                <w:sz w:val="20"/>
                <w:szCs w:val="20"/>
              </w:rPr>
              <w:t xml:space="preserve"> </w:t>
            </w:r>
            <w:r w:rsidR="00EA0E9A">
              <w:rPr>
                <w:rFonts w:ascii="Times New Roman" w:hAnsi="Times New Roman"/>
                <w:spacing w:val="-1"/>
                <w:sz w:val="20"/>
                <w:szCs w:val="20"/>
              </w:rPr>
              <w:t>Шаг аукциона в размере 10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% от предыдущей цены.</w:t>
            </w:r>
          </w:p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Расходы, связанные с подготовкой аукциона и документации, необходимой для его проведения по каждому лоту отдельно составляют 551,26 рублей.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Условия, предусмотренные в решении об изъятии земельного участка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ind w:firstLine="175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предоставляется победителю аукциона либо единственному участнику несостоявшегося аукциона, выразившему согласие на предоставление ему земельного участка при соблюдении условий: в случае, если аукцион продажи признан несостоявшимся в силу того, что заявление на участие в нем подано одним гражданином либо для участия в нем явился только один гражданин, земельный участок предоставляется этому гражданину при его согласии с внесением  платы за</w:t>
            </w:r>
            <w:proofErr w:type="gramEnd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земельный участок в размере начальной цены предмета аукциона, увеличенной на 5 процентов.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Победитель аукциона  либо единственный участник несостоявшегося аукциона обязан:</w:t>
            </w:r>
          </w:p>
          <w:p w:rsidR="007D5960" w:rsidRPr="00F8295D" w:rsidRDefault="007D5960" w:rsidP="006D3589">
            <w:pPr>
              <w:pStyle w:val="a5"/>
              <w:spacing w:after="0" w:line="200" w:lineRule="exact"/>
              <w:ind w:left="36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1.в течение 10 рабочих дней после утверждения в установленном порядке протокола о результатах аукциона либо после признания аукциона несостоявшимся: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внести плату за земельный участок (часть платы – в случае предоставления рассрочки ее внесения в установленном порядке);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затраты  на организацию и проведение аукциона в размере 551.26 руб.;</w:t>
            </w:r>
          </w:p>
          <w:p w:rsidR="007D5960" w:rsidRPr="001302C2" w:rsidRDefault="007D5960" w:rsidP="00EA0E9A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возместить  затраты, связанные с </w:t>
            </w:r>
            <w:r w:rsidR="00EA0E9A">
              <w:rPr>
                <w:rFonts w:ascii="Times New Roman" w:hAnsi="Times New Roman"/>
                <w:spacing w:val="-1"/>
                <w:sz w:val="20"/>
                <w:szCs w:val="20"/>
              </w:rPr>
              <w:t>формированием земельного участка и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государственной регистрацией зем</w:t>
            </w:r>
            <w:r w:rsidR="001302C2"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ельного участка в </w:t>
            </w:r>
            <w:r w:rsidR="00EA0E9A">
              <w:rPr>
                <w:rFonts w:ascii="Times New Roman" w:hAnsi="Times New Roman"/>
                <w:spacing w:val="-1"/>
                <w:sz w:val="20"/>
                <w:szCs w:val="20"/>
              </w:rPr>
              <w:t>размере 34,00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руб.; </w:t>
            </w:r>
          </w:p>
          <w:p w:rsidR="007D5960" w:rsidRPr="004059BB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возместить </w:t>
            </w:r>
            <w:r w:rsidRPr="00783C2B">
              <w:rPr>
                <w:rFonts w:ascii="Times New Roman" w:hAnsi="Times New Roman"/>
                <w:sz w:val="20"/>
                <w:szCs w:val="20"/>
              </w:rPr>
              <w:t>расходы, связанные с публикацией объявления в средствах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2.осуществить государственную регистрацию права частной собственности на земельный участок в течение двух месяцев со дня утверждения протокола;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3.в течение одного года после государственной регистрации прав на земельный участок приступить к строительству жилого дома и в установленном порядке вести его в эксплуатацию в сроки, установленные утвержденной проектной документацией;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4.снять на занимаемом земельном участке плодородный слой почвы из-под пятен застройки и использовать его для улучшения плодородия предоставляемого земельного участка;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5.содержать предоставляемый земельный участок и прилегающую к нему территорию в надлежащем санитарном состоянии;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6.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возместить затраты на строительство, в 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 объекта строительства, установленного в проектной документации (не позднее дня </w:t>
            </w:r>
            <w:proofErr w:type="gramStart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утверждения акта приемки объекта строительства</w:t>
            </w:r>
            <w:proofErr w:type="gramEnd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эксплуатацию).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Порядок оплаты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1: Победитель аукциона (единственный участник несостоявшегося аукциона) возмещает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связанные с изготовлением градостроительного и формированием материалов на земельный участок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и его государственной регистрацией, расходы, связанные с публикацией объявления в средствах массовой информации, а также расходы связанные с проведением аукциона. Оплата в размере цены продажи объекта (за вычетом задатка) и расходов по организации и проведения аукциона производится в течение 10-ти рабочих дней со дня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проведения аукциона или признании его несостоявшимся.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По Лоту № 1: 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Победитель (единственный участник несостоявшегося) аукциона возмещает затраты на строительство объектов распределительной инженерной и транспортной инфраструктуры до начала строительства.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согласно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градостроительного паспорта, ТУ и ТНПА.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Рельеф участка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равнинный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Размер и порядок внесения задатка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Задаток </w:t>
            </w:r>
            <w:r w:rsidRPr="00F829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вносится 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EA0E9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23.09.2025 г. до 23.</w:t>
            </w:r>
            <w:r w:rsidR="00504657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.2025г.  на указанные ниже реквизиты и в указанном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 ниже процентном соотношении от начальной цены продажи: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По лоту </w:t>
            </w:r>
            <w:r w:rsidR="00504657">
              <w:rPr>
                <w:rFonts w:ascii="Times New Roman" w:hAnsi="Times New Roman"/>
                <w:b/>
                <w:sz w:val="20"/>
                <w:szCs w:val="20"/>
              </w:rPr>
              <w:t>№ 1 размер задатка составляет 2</w:t>
            </w:r>
            <w:r w:rsidR="00130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от начальной цены и перечисляется на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54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30123367900200000000  в ОАО «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Белагропромбанк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», БИК -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2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,   УНН 600010557, получатель: Государственное предприятие «УКС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района»;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6"/>
                <w:sz w:val="20"/>
                <w:szCs w:val="20"/>
              </w:rPr>
              <w:t>Продавец</w:t>
            </w:r>
          </w:p>
        </w:tc>
        <w:tc>
          <w:tcPr>
            <w:tcW w:w="9214" w:type="dxa"/>
          </w:tcPr>
          <w:p w:rsidR="007D5960" w:rsidRPr="00F8295D" w:rsidRDefault="007D5960" w:rsidP="0050465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Лот № 1 </w:t>
            </w:r>
            <w:proofErr w:type="spellStart"/>
            <w:r w:rsidR="00504657">
              <w:rPr>
                <w:rFonts w:ascii="Times New Roman" w:hAnsi="Times New Roman"/>
                <w:spacing w:val="-2"/>
                <w:sz w:val="20"/>
                <w:szCs w:val="20"/>
              </w:rPr>
              <w:t>Долгтновский</w:t>
            </w:r>
            <w:proofErr w:type="spellEnd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сельский исполнительн</w:t>
            </w:r>
            <w:r w:rsidR="00504657">
              <w:rPr>
                <w:rFonts w:ascii="Times New Roman" w:hAnsi="Times New Roman"/>
                <w:spacing w:val="-2"/>
                <w:sz w:val="20"/>
                <w:szCs w:val="20"/>
              </w:rPr>
              <w:t>ый комитет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Организатор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аукциона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Государственного предприятие «УКС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района»,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г</w:t>
            </w:r>
            <w:proofErr w:type="gram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.В</w:t>
            </w:r>
            <w:proofErr w:type="gram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илейка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ул. Водопьянова, 30,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каб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11.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Документы  для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участия в аук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ционе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В комиссию или организацию представляются: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По лоту № 1: гражданином – копия документа, содержащего его идентификационные сведения, без нотариального засвидетельствования; представителем гражданина – нотариально удостоверенная доверенность;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Дополнительно предоставляется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заверенная банком копия платежного документа, подтверждающего внесение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задатка. Участниками могут выступать только физические лица. </w:t>
            </w:r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 xml:space="preserve">Срок 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адрес приема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504657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 23.09.2025 до 15 часов 23.10</w:t>
            </w:r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.2025; место приема заявок: г. Вилейка, ул. Водопьянова, 30, каб.№11.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Прием заявлений осуществляется по следующему графику: понедельник - четверг с 08:00-17:00, пятница 08:00-15:45, обед  13:00-13:45, в выходные и праздничные дни прием заявлений не осуществляется.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ел./факс 801771) 3-52-92.</w:t>
            </w:r>
            <w:proofErr w:type="gramEnd"/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Порядок осмотра земельного участка и иные вопросы, </w:t>
            </w:r>
            <w:proofErr w:type="gramStart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>относящееся</w:t>
            </w:r>
            <w:proofErr w:type="gramEnd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 аукциону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Все необходимые сведения  для проведения осмотра Вы можете получить по следующим номерам телефонов: тел./факс 801771 3-52-92 или по средствам личного приема по адресу: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г. Вилейка, ул. Водопьянова, 30, каб.№11.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Дата, время,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место и порядок проведения 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504657" w:rsidP="006D3589">
            <w:pPr>
              <w:pStyle w:val="a3"/>
              <w:spacing w:before="0" w:beforeAutospacing="0" w:after="77" w:afterAutospacing="0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Аукцион состоится  24.10</w:t>
            </w:r>
            <w:bookmarkStart w:id="0" w:name="_GoBack"/>
            <w:bookmarkEnd w:id="0"/>
            <w:r w:rsidR="007D5960" w:rsidRPr="00F8295D">
              <w:rPr>
                <w:b/>
                <w:bCs/>
                <w:spacing w:val="-2"/>
                <w:sz w:val="20"/>
                <w:szCs w:val="20"/>
              </w:rPr>
              <w:t xml:space="preserve">.2025 года </w:t>
            </w:r>
            <w:r w:rsidR="007D5960" w:rsidRPr="00F8295D">
              <w:rPr>
                <w:b/>
                <w:sz w:val="20"/>
                <w:szCs w:val="20"/>
              </w:rPr>
              <w:t xml:space="preserve"> </w:t>
            </w:r>
            <w:r w:rsidR="007D5960" w:rsidRPr="00F8295D">
              <w:rPr>
                <w:b/>
                <w:bCs/>
                <w:spacing w:val="-1"/>
                <w:sz w:val="20"/>
                <w:szCs w:val="20"/>
              </w:rPr>
              <w:t xml:space="preserve">в 10.00 </w:t>
            </w:r>
            <w:r w:rsidR="007D5960" w:rsidRPr="00F8295D">
              <w:rPr>
                <w:bCs/>
                <w:spacing w:val="-1"/>
                <w:sz w:val="20"/>
                <w:szCs w:val="20"/>
              </w:rPr>
              <w:t>п</w:t>
            </w:r>
            <w:r w:rsidR="007D5960" w:rsidRPr="00F8295D">
              <w:rPr>
                <w:spacing w:val="-1"/>
                <w:sz w:val="20"/>
                <w:szCs w:val="20"/>
              </w:rPr>
              <w:t xml:space="preserve">о адресу: г. Вилейка, ул. Водопьянова, 30. По Лоту № 1 порядок проведения аукциона - согласно </w:t>
            </w:r>
            <w:r w:rsidR="007D5960" w:rsidRPr="00F8295D">
              <w:rPr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="007D5960" w:rsidRPr="00F8295D">
              <w:rPr>
                <w:sz w:val="20"/>
                <w:szCs w:val="20"/>
              </w:rPr>
              <w:t>утвержденное</w:t>
            </w:r>
            <w:proofErr w:type="gramEnd"/>
            <w:r w:rsidR="007D5960" w:rsidRPr="00F8295D">
              <w:rPr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Условия проведения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Наличие не менее двух участников. Условия проведения согласно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утвержденное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постановлением Совета Министров Республики Беларусь от 13 января 2023 г. № 32.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Подробная информация о проводимом аукционе размещена: на официальном сайте Государственного комитета по имуществу:  </w:t>
            </w:r>
            <w:hyperlink r:id="rId5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</w:t>
              </w:r>
              <w:r w:rsidRPr="00F8295D">
                <w:rPr>
                  <w:rStyle w:val="a4"/>
                  <w:rFonts w:ascii="Times New Roman" w:hAnsi="Times New Roman"/>
                  <w:b/>
                  <w:bCs/>
                  <w:spacing w:val="-2"/>
                  <w:sz w:val="20"/>
                  <w:szCs w:val="20"/>
                </w:rPr>
                <w:t>://</w:t>
              </w:r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au.nca.by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</w:t>
            </w:r>
            <w:proofErr w:type="spellStart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районного исполнительного комитета:</w:t>
            </w:r>
            <w:r w:rsidRPr="00F8295D">
              <w:rPr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https://vileyka.gov.by/; на официальном сайте Минского областного исполнительного комитета: </w:t>
            </w:r>
            <w:hyperlink r:id="rId6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http://minsk-region.gov.by/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Минского городского исполнительного комитета: </w:t>
            </w:r>
            <w:hyperlink r:id="rId7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https://minsk.gov.by/</w:t>
              </w:r>
            </w:hyperlink>
          </w:p>
        </w:tc>
      </w:tr>
    </w:tbl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880668" w:rsidRDefault="00880668"/>
    <w:sectPr w:rsidR="00880668" w:rsidSect="005E3169">
      <w:pgSz w:w="11906" w:h="16838"/>
      <w:pgMar w:top="567" w:right="850" w:bottom="1134" w:left="1701" w:header="708" w:footer="1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7A"/>
    <w:rsid w:val="000D0E7A"/>
    <w:rsid w:val="001302C2"/>
    <w:rsid w:val="00504657"/>
    <w:rsid w:val="007D5960"/>
    <w:rsid w:val="00880668"/>
    <w:rsid w:val="00C83FE9"/>
    <w:rsid w:val="00EA0E9A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.gov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s://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2025-09-22T13:17:00Z</cp:lastPrinted>
  <dcterms:created xsi:type="dcterms:W3CDTF">2025-08-01T07:29:00Z</dcterms:created>
  <dcterms:modified xsi:type="dcterms:W3CDTF">2025-09-22T13:17:00Z</dcterms:modified>
</cp:coreProperties>
</file>