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0930" w14:textId="77777777" w:rsidR="00CD23EE" w:rsidRDefault="00CD23E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8616"/>
      </w:tblGrid>
      <w:tr w:rsidR="00724E64" w:rsidRPr="00524DA2" w14:paraId="5FF701DA" w14:textId="77777777">
        <w:tblPrEx>
          <w:tblCellMar>
            <w:top w:w="0" w:type="dxa"/>
            <w:bottom w:w="0" w:type="dxa"/>
          </w:tblCellMar>
        </w:tblPrEx>
        <w:tc>
          <w:tcPr>
            <w:tcW w:w="11160" w:type="dxa"/>
            <w:gridSpan w:val="2"/>
          </w:tcPr>
          <w:p w14:paraId="66F46CE6" w14:textId="77777777" w:rsidR="00724E64" w:rsidRDefault="00724E64" w:rsidP="00CE6B72">
            <w:pPr>
              <w:jc w:val="center"/>
              <w:rPr>
                <w:b/>
                <w:bCs/>
                <w:sz w:val="30"/>
                <w:szCs w:val="30"/>
              </w:rPr>
            </w:pPr>
            <w:r w:rsidRPr="00524DA2">
              <w:rPr>
                <w:b/>
                <w:bCs/>
                <w:sz w:val="30"/>
                <w:szCs w:val="30"/>
              </w:rPr>
              <w:t>Админист</w:t>
            </w:r>
            <w:r w:rsidR="008C1BB9">
              <w:rPr>
                <w:b/>
                <w:bCs/>
                <w:sz w:val="30"/>
                <w:szCs w:val="30"/>
              </w:rPr>
              <w:t>ративная процедура № 9.11.1</w:t>
            </w:r>
          </w:p>
          <w:p w14:paraId="4A029410" w14:textId="77777777" w:rsidR="003201B9" w:rsidRPr="00F50E46" w:rsidRDefault="008C1BB9" w:rsidP="00DA12A4">
            <w:pPr>
              <w:pStyle w:val="af0"/>
              <w:jc w:val="both"/>
              <w:rPr>
                <w:b/>
                <w:bCs/>
                <w:sz w:val="30"/>
                <w:szCs w:val="30"/>
              </w:rPr>
            </w:pPr>
            <w:r>
              <w:rPr>
                <w:b/>
                <w:bCs/>
                <w:sz w:val="30"/>
                <w:szCs w:val="30"/>
              </w:rPr>
              <w:t xml:space="preserve">              В</w:t>
            </w:r>
            <w:r w:rsidRPr="008C1BB9">
              <w:rPr>
                <w:b/>
                <w:bCs/>
                <w:sz w:val="30"/>
                <w:szCs w:val="30"/>
              </w:rPr>
              <w:t>ыдача разрешения на размещение средства наружной рекламы</w:t>
            </w:r>
          </w:p>
        </w:tc>
      </w:tr>
      <w:tr w:rsidR="00724E64" w:rsidRPr="00F50E46" w14:paraId="2DBB0FD9" w14:textId="77777777">
        <w:tblPrEx>
          <w:tblCellMar>
            <w:top w:w="0" w:type="dxa"/>
            <w:bottom w:w="0" w:type="dxa"/>
          </w:tblCellMar>
        </w:tblPrEx>
        <w:tc>
          <w:tcPr>
            <w:tcW w:w="2544" w:type="dxa"/>
            <w:tcMar>
              <w:left w:w="0" w:type="dxa"/>
              <w:right w:w="0" w:type="dxa"/>
            </w:tcMar>
          </w:tcPr>
          <w:p w14:paraId="220EF272" w14:textId="77777777" w:rsidR="00724E64" w:rsidRPr="00DC222D" w:rsidRDefault="00724E64" w:rsidP="00DC222D">
            <w:pPr>
              <w:spacing w:line="220" w:lineRule="exact"/>
              <w:rPr>
                <w:b/>
                <w:bCs/>
                <w:sz w:val="26"/>
                <w:szCs w:val="26"/>
              </w:rPr>
            </w:pPr>
            <w:r w:rsidRPr="00DC222D">
              <w:rPr>
                <w:b/>
                <w:bCs/>
                <w:sz w:val="26"/>
                <w:szCs w:val="26"/>
              </w:rPr>
              <w:t>Наименование структурного подразделени</w:t>
            </w:r>
            <w:r w:rsidR="00DC222D">
              <w:rPr>
                <w:b/>
                <w:bCs/>
                <w:sz w:val="26"/>
                <w:szCs w:val="26"/>
              </w:rPr>
              <w:t>я</w:t>
            </w:r>
            <w:r w:rsidRPr="00DC222D">
              <w:rPr>
                <w:b/>
                <w:bCs/>
                <w:sz w:val="26"/>
                <w:szCs w:val="26"/>
              </w:rPr>
              <w:t>, выполняющего административную процедуру</w:t>
            </w:r>
          </w:p>
          <w:p w14:paraId="3277C89F" w14:textId="77777777" w:rsidR="00724E64" w:rsidRPr="00DC222D" w:rsidRDefault="00724E64" w:rsidP="00DC222D">
            <w:pPr>
              <w:spacing w:line="220" w:lineRule="exact"/>
              <w:rPr>
                <w:b/>
                <w:bCs/>
                <w:sz w:val="26"/>
                <w:szCs w:val="26"/>
              </w:rPr>
            </w:pPr>
          </w:p>
        </w:tc>
        <w:tc>
          <w:tcPr>
            <w:tcW w:w="8616" w:type="dxa"/>
            <w:tcMar>
              <w:left w:w="0" w:type="dxa"/>
              <w:right w:w="0" w:type="dxa"/>
            </w:tcMar>
          </w:tcPr>
          <w:p w14:paraId="385840FF" w14:textId="77777777" w:rsidR="00384C2D" w:rsidRDefault="00384C2D" w:rsidP="00384C2D">
            <w:pPr>
              <w:spacing w:line="280" w:lineRule="exact"/>
              <w:rPr>
                <w:sz w:val="30"/>
                <w:szCs w:val="30"/>
              </w:rPr>
            </w:pPr>
            <w:r>
              <w:rPr>
                <w:sz w:val="30"/>
                <w:szCs w:val="30"/>
              </w:rPr>
              <w:t>Служба «одно окно»</w:t>
            </w:r>
          </w:p>
          <w:p w14:paraId="2CC24A2F" w14:textId="77777777" w:rsidR="00384C2D" w:rsidRDefault="00384C2D" w:rsidP="00384C2D">
            <w:pPr>
              <w:spacing w:line="280" w:lineRule="exact"/>
              <w:rPr>
                <w:sz w:val="30"/>
                <w:szCs w:val="30"/>
              </w:rPr>
            </w:pPr>
            <w:r>
              <w:rPr>
                <w:sz w:val="30"/>
                <w:szCs w:val="30"/>
              </w:rPr>
              <w:t>Вилейский районный исполнительный комитет</w:t>
            </w:r>
          </w:p>
          <w:p w14:paraId="34A4B4DB" w14:textId="77777777" w:rsidR="00724E64" w:rsidRPr="00524DA2" w:rsidRDefault="00384C2D" w:rsidP="00384C2D">
            <w:pPr>
              <w:spacing w:line="280" w:lineRule="exact"/>
              <w:rPr>
                <w:sz w:val="30"/>
                <w:szCs w:val="30"/>
              </w:rPr>
            </w:pPr>
            <w:r>
              <w:rPr>
                <w:sz w:val="30"/>
                <w:szCs w:val="30"/>
              </w:rPr>
              <w:t>(г. Вилейка, ул.Партизанская, 44)</w:t>
            </w:r>
          </w:p>
        </w:tc>
      </w:tr>
      <w:tr w:rsidR="008C4CFD" w14:paraId="5C12EBE5" w14:textId="77777777">
        <w:tblPrEx>
          <w:tblCellMar>
            <w:top w:w="0" w:type="dxa"/>
            <w:bottom w:w="0" w:type="dxa"/>
          </w:tblCellMar>
        </w:tblPrEx>
        <w:trPr>
          <w:trHeight w:val="1126"/>
        </w:trPr>
        <w:tc>
          <w:tcPr>
            <w:tcW w:w="2544" w:type="dxa"/>
            <w:tcMar>
              <w:left w:w="0" w:type="dxa"/>
              <w:right w:w="0" w:type="dxa"/>
            </w:tcMar>
          </w:tcPr>
          <w:p w14:paraId="7C5BCCF2" w14:textId="77777777" w:rsidR="008C4CFD" w:rsidRDefault="008C4CFD" w:rsidP="008C4CFD">
            <w:pPr>
              <w:spacing w:line="220" w:lineRule="exact"/>
              <w:rPr>
                <w:b/>
                <w:bCs/>
                <w:sz w:val="26"/>
                <w:szCs w:val="26"/>
              </w:rPr>
            </w:pPr>
            <w:r>
              <w:rPr>
                <w:b/>
                <w:bCs/>
                <w:sz w:val="26"/>
                <w:szCs w:val="26"/>
              </w:rPr>
              <w:t>Документы и (или) сведения, представляемые юридическим лицом и индивидуальным предпринимателем для осуществления административной процедуры</w:t>
            </w:r>
          </w:p>
          <w:p w14:paraId="68D26D4D" w14:textId="77777777" w:rsidR="008C4CFD" w:rsidRPr="00DC222D" w:rsidRDefault="008C4CFD" w:rsidP="008C4CFD">
            <w:pPr>
              <w:spacing w:line="220" w:lineRule="exact"/>
              <w:rPr>
                <w:b/>
                <w:bCs/>
                <w:sz w:val="26"/>
                <w:szCs w:val="26"/>
              </w:rPr>
            </w:pPr>
          </w:p>
        </w:tc>
        <w:tc>
          <w:tcPr>
            <w:tcW w:w="8616" w:type="dxa"/>
            <w:tcMar>
              <w:left w:w="0" w:type="dxa"/>
              <w:right w:w="0" w:type="dxa"/>
            </w:tcMar>
          </w:tcPr>
          <w:p w14:paraId="6BB819E2" w14:textId="77777777" w:rsidR="000B56DA" w:rsidRPr="000B56DA" w:rsidRDefault="000B56DA" w:rsidP="000B56DA">
            <w:pPr>
              <w:spacing w:line="280" w:lineRule="exact"/>
              <w:jc w:val="both"/>
              <w:rPr>
                <w:sz w:val="30"/>
                <w:szCs w:val="30"/>
              </w:rPr>
            </w:pPr>
            <w:r w:rsidRPr="000B56DA">
              <w:rPr>
                <w:sz w:val="30"/>
                <w:szCs w:val="30"/>
              </w:rPr>
              <w:t>заявление</w:t>
            </w:r>
          </w:p>
          <w:p w14:paraId="10C5D70F" w14:textId="77777777" w:rsidR="000B56DA" w:rsidRPr="000B56DA" w:rsidRDefault="000B56DA" w:rsidP="000B56DA">
            <w:pPr>
              <w:spacing w:line="280" w:lineRule="exact"/>
              <w:jc w:val="both"/>
              <w:rPr>
                <w:sz w:val="30"/>
                <w:szCs w:val="30"/>
              </w:rPr>
            </w:pPr>
          </w:p>
          <w:p w14:paraId="10D819EB" w14:textId="77777777" w:rsidR="000B56DA" w:rsidRPr="000B56DA" w:rsidRDefault="000B56DA" w:rsidP="000B56DA">
            <w:pPr>
              <w:spacing w:line="280" w:lineRule="exact"/>
              <w:jc w:val="both"/>
              <w:rPr>
                <w:sz w:val="30"/>
                <w:szCs w:val="30"/>
              </w:rPr>
            </w:pPr>
            <w:r w:rsidRPr="000B56DA">
              <w:rPr>
                <w:sz w:val="30"/>
                <w:szCs w:val="30"/>
              </w:rPr>
              <w:t>эскиз средства наружной рекламы в увязке с конкретной архитектурно-планировочной ситуацией по месту его размещения, выполненный на бумажном носителе в цвете</w:t>
            </w:r>
          </w:p>
          <w:p w14:paraId="4D66FA14" w14:textId="77777777" w:rsidR="000B56DA" w:rsidRDefault="000B56DA" w:rsidP="000B56DA">
            <w:pPr>
              <w:spacing w:line="280" w:lineRule="exact"/>
              <w:jc w:val="both"/>
              <w:rPr>
                <w:sz w:val="30"/>
                <w:szCs w:val="30"/>
              </w:rPr>
            </w:pPr>
          </w:p>
          <w:p w14:paraId="0294A377" w14:textId="77777777" w:rsidR="000B56DA" w:rsidRPr="000B56DA" w:rsidRDefault="000B56DA" w:rsidP="000B56DA">
            <w:pPr>
              <w:spacing w:line="280" w:lineRule="exact"/>
              <w:jc w:val="both"/>
              <w:rPr>
                <w:sz w:val="30"/>
                <w:szCs w:val="30"/>
              </w:rPr>
            </w:pPr>
            <w:r w:rsidRPr="000B56DA">
              <w:rPr>
                <w:sz w:val="30"/>
                <w:szCs w:val="30"/>
              </w:rPr>
              <w:t>три фотографии места размещения средства наружной рекламы размером 9 x 13 сантиметров (1 фотография с панорамной съемкой места размещения средства наружной рекламы, 2 фотографии с обозначением места размещения средства наружной рекламы), выполненные в цвете</w:t>
            </w:r>
          </w:p>
          <w:p w14:paraId="1B4FC9AD" w14:textId="77777777" w:rsidR="000B56DA" w:rsidRPr="000B56DA" w:rsidRDefault="000B56DA" w:rsidP="000B56DA">
            <w:pPr>
              <w:spacing w:line="280" w:lineRule="exact"/>
              <w:jc w:val="both"/>
              <w:rPr>
                <w:sz w:val="30"/>
                <w:szCs w:val="30"/>
              </w:rPr>
            </w:pPr>
          </w:p>
          <w:p w14:paraId="5EF8A33A" w14:textId="77777777" w:rsidR="000B56DA" w:rsidRPr="000B56DA" w:rsidRDefault="000B56DA" w:rsidP="000B56DA">
            <w:pPr>
              <w:spacing w:line="280" w:lineRule="exact"/>
              <w:jc w:val="both"/>
              <w:rPr>
                <w:sz w:val="30"/>
                <w:szCs w:val="30"/>
              </w:rPr>
            </w:pPr>
            <w:r w:rsidRPr="000B56DA">
              <w:rPr>
                <w:sz w:val="30"/>
                <w:szCs w:val="30"/>
              </w:rPr>
              <w:t>письмо или иной документ о согласии собственника места размещения средства наружной рекламы (далее в настоящем пункте – собственник) или лица, указанного в абзацах втором–пятом части четвертой пункта 1 статьи 13 Закона Республики Беларусь от 10 мая 2007 г. № 225-З «О рекламе» (далее в настоящем пункте – уполномоченное лицо), на размещение средства наружной рекламы, выданные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 торгов не требуется, за исключением случая, когда рекламораспространитель является собственником или уполномоченным лицом. При размещении средства наружной рекламы на имуществе, находящемся в общей собственности нескольких лиц, в случае, когда проведение торгов не требуется, – документ, подтверждающий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письменного опроса собственников или иной предусмотренный законодательством документ)2</w:t>
            </w:r>
          </w:p>
          <w:p w14:paraId="039ACD74" w14:textId="77777777" w:rsidR="000B56DA" w:rsidRPr="000B56DA" w:rsidRDefault="000B56DA" w:rsidP="000B56DA">
            <w:pPr>
              <w:spacing w:line="280" w:lineRule="exact"/>
              <w:jc w:val="both"/>
              <w:rPr>
                <w:sz w:val="30"/>
                <w:szCs w:val="30"/>
              </w:rPr>
            </w:pPr>
          </w:p>
          <w:p w14:paraId="64C88566" w14:textId="77777777" w:rsidR="000B56DA" w:rsidRPr="000B56DA" w:rsidRDefault="000B56DA" w:rsidP="000B56DA">
            <w:pPr>
              <w:spacing w:line="280" w:lineRule="exact"/>
              <w:jc w:val="both"/>
              <w:rPr>
                <w:sz w:val="30"/>
                <w:szCs w:val="30"/>
              </w:rPr>
            </w:pPr>
            <w:r w:rsidRPr="000B56DA">
              <w:rPr>
                <w:sz w:val="30"/>
                <w:szCs w:val="30"/>
              </w:rPr>
              <w:t>копия документа, подтверждающего государственную регистрацию рекламораспространителя (при первой подаче такого документа в соответствующий исполком)2</w:t>
            </w:r>
          </w:p>
          <w:p w14:paraId="7BB284F9" w14:textId="77777777" w:rsidR="000B56DA" w:rsidRPr="000B56DA" w:rsidRDefault="000B56DA" w:rsidP="000B56DA">
            <w:pPr>
              <w:spacing w:line="280" w:lineRule="exact"/>
              <w:jc w:val="both"/>
              <w:rPr>
                <w:sz w:val="30"/>
                <w:szCs w:val="30"/>
              </w:rPr>
            </w:pPr>
          </w:p>
          <w:p w14:paraId="0AA44C61" w14:textId="77777777" w:rsidR="008C4CFD" w:rsidRPr="009348E4" w:rsidRDefault="000B56DA" w:rsidP="000B56DA">
            <w:pPr>
              <w:spacing w:line="280" w:lineRule="exact"/>
              <w:jc w:val="both"/>
              <w:rPr>
                <w:sz w:val="30"/>
                <w:szCs w:val="30"/>
              </w:rPr>
            </w:pPr>
            <w:r w:rsidRPr="000B56DA">
              <w:rPr>
                <w:sz w:val="30"/>
                <w:szCs w:val="30"/>
              </w:rPr>
              <w:t>документ, подтверждающий внесение платы15</w:t>
            </w:r>
          </w:p>
        </w:tc>
      </w:tr>
      <w:tr w:rsidR="008C4CFD" w14:paraId="3FF3A059" w14:textId="77777777">
        <w:tblPrEx>
          <w:tblCellMar>
            <w:top w:w="0" w:type="dxa"/>
            <w:bottom w:w="0" w:type="dxa"/>
          </w:tblCellMar>
        </w:tblPrEx>
        <w:tc>
          <w:tcPr>
            <w:tcW w:w="2544" w:type="dxa"/>
            <w:tcMar>
              <w:left w:w="0" w:type="dxa"/>
              <w:right w:w="0" w:type="dxa"/>
            </w:tcMar>
          </w:tcPr>
          <w:p w14:paraId="5CF0950B" w14:textId="77777777" w:rsidR="008C4CFD" w:rsidRPr="00DC222D" w:rsidRDefault="008C4CFD" w:rsidP="008C4CFD">
            <w:pPr>
              <w:spacing w:line="220" w:lineRule="exact"/>
              <w:rPr>
                <w:b/>
                <w:bCs/>
                <w:sz w:val="26"/>
                <w:szCs w:val="26"/>
              </w:rPr>
            </w:pPr>
            <w:r w:rsidRPr="00DC222D">
              <w:rPr>
                <w:b/>
                <w:bCs/>
                <w:sz w:val="26"/>
                <w:szCs w:val="26"/>
              </w:rPr>
              <w:t>Размер платы, взимаемой при осуществлении административной процедуры</w:t>
            </w:r>
          </w:p>
          <w:p w14:paraId="1492B392" w14:textId="77777777" w:rsidR="008C4CFD" w:rsidRPr="00DC222D" w:rsidRDefault="008C4CFD" w:rsidP="008C4CFD">
            <w:pPr>
              <w:spacing w:line="220" w:lineRule="exact"/>
              <w:rPr>
                <w:b/>
                <w:bCs/>
                <w:sz w:val="26"/>
                <w:szCs w:val="26"/>
              </w:rPr>
            </w:pPr>
          </w:p>
        </w:tc>
        <w:tc>
          <w:tcPr>
            <w:tcW w:w="8616" w:type="dxa"/>
            <w:tcMar>
              <w:left w:w="0" w:type="dxa"/>
              <w:right w:w="0" w:type="dxa"/>
            </w:tcMar>
          </w:tcPr>
          <w:p w14:paraId="5AFFA315" w14:textId="77777777" w:rsidR="000B56DA" w:rsidRDefault="004A7D40" w:rsidP="008C4CFD">
            <w:pPr>
              <w:spacing w:line="280" w:lineRule="exact"/>
              <w:rPr>
                <w:sz w:val="30"/>
                <w:szCs w:val="30"/>
              </w:rPr>
            </w:pPr>
            <w:r>
              <w:rPr>
                <w:sz w:val="30"/>
                <w:szCs w:val="30"/>
              </w:rPr>
              <w:t>36,14 бел. рублей- выдача разрешения на размещение средства наружной рекламы;</w:t>
            </w:r>
          </w:p>
          <w:p w14:paraId="1C203B91" w14:textId="77777777" w:rsidR="004A7D40" w:rsidRDefault="004A7D40" w:rsidP="008C4CFD">
            <w:pPr>
              <w:spacing w:line="280" w:lineRule="exact"/>
              <w:rPr>
                <w:sz w:val="30"/>
                <w:szCs w:val="30"/>
              </w:rPr>
            </w:pPr>
            <w:r>
              <w:rPr>
                <w:sz w:val="30"/>
                <w:szCs w:val="30"/>
              </w:rPr>
              <w:t>470,49 бел. рублей- выдача разрешения на размещение средства наружной рекламы на зданиях историко-культурной ценности либо в зонах их охраны или в пределах придорожной полосы ( контролируемой зоны) автомобильной дороги, красных линий улиц, дорог и площадей;</w:t>
            </w:r>
          </w:p>
          <w:p w14:paraId="1B99E279" w14:textId="77777777" w:rsidR="004A7D40" w:rsidRDefault="004A7D40" w:rsidP="008C4CFD">
            <w:pPr>
              <w:spacing w:line="280" w:lineRule="exact"/>
              <w:rPr>
                <w:sz w:val="30"/>
                <w:szCs w:val="30"/>
              </w:rPr>
            </w:pPr>
            <w:r>
              <w:rPr>
                <w:sz w:val="30"/>
                <w:szCs w:val="30"/>
              </w:rPr>
              <w:t>44,79 бел. рублей- выдача разрешения на размещение средства наружной рекламы на зданиях историко-культурной ценности (в зонах их охраны) или в пределах придорожной полосы (контролируемой зоны) автомобильной дороги, красных линий улиц, дорог и площадей.</w:t>
            </w:r>
          </w:p>
          <w:p w14:paraId="799209A8" w14:textId="77777777" w:rsidR="004A7D40" w:rsidRPr="004A7D40" w:rsidRDefault="004A7D40" w:rsidP="004A7D40">
            <w:pPr>
              <w:spacing w:line="280" w:lineRule="exact"/>
              <w:rPr>
                <w:sz w:val="30"/>
                <w:szCs w:val="30"/>
              </w:rPr>
            </w:pPr>
          </w:p>
          <w:p w14:paraId="728959BB" w14:textId="77777777" w:rsidR="004A7D40" w:rsidRPr="004A7D40" w:rsidRDefault="004A7D40" w:rsidP="004A7D40">
            <w:pPr>
              <w:spacing w:line="280" w:lineRule="exact"/>
              <w:rPr>
                <w:sz w:val="30"/>
                <w:szCs w:val="30"/>
              </w:rPr>
            </w:pPr>
            <w:r w:rsidRPr="004A7D40">
              <w:rPr>
                <w:sz w:val="30"/>
                <w:szCs w:val="30"/>
              </w:rPr>
              <w:t>бесплатно – при выдаче разрешения на размещение средства наружной рекламы:</w:t>
            </w:r>
          </w:p>
          <w:p w14:paraId="1A4443C3" w14:textId="77777777" w:rsidR="004A7D40" w:rsidRPr="004A7D40" w:rsidRDefault="004A7D40" w:rsidP="004A7D40">
            <w:pPr>
              <w:spacing w:line="280" w:lineRule="exact"/>
              <w:rPr>
                <w:sz w:val="30"/>
                <w:szCs w:val="30"/>
              </w:rPr>
            </w:pPr>
            <w:r w:rsidRPr="004A7D40">
              <w:rPr>
                <w:sz w:val="30"/>
                <w:szCs w:val="30"/>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14:paraId="47E847D0" w14:textId="77777777" w:rsidR="004A7D40" w:rsidRPr="004A7D40" w:rsidRDefault="004A7D40" w:rsidP="004A7D40">
            <w:pPr>
              <w:spacing w:line="280" w:lineRule="exact"/>
              <w:rPr>
                <w:sz w:val="30"/>
                <w:szCs w:val="30"/>
              </w:rPr>
            </w:pPr>
          </w:p>
          <w:p w14:paraId="3517C457" w14:textId="77777777" w:rsidR="000B56DA" w:rsidRDefault="004A7D40" w:rsidP="004A7D40">
            <w:pPr>
              <w:spacing w:line="280" w:lineRule="exact"/>
              <w:rPr>
                <w:sz w:val="30"/>
                <w:szCs w:val="30"/>
              </w:rPr>
            </w:pPr>
            <w:r w:rsidRPr="004A7D40">
              <w:rPr>
                <w:sz w:val="30"/>
                <w:szCs w:val="30"/>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p w14:paraId="6BD405E9" w14:textId="77777777" w:rsidR="008C4CFD" w:rsidRDefault="000B56DA" w:rsidP="004A7D40">
            <w:pPr>
              <w:spacing w:line="280" w:lineRule="exact"/>
              <w:rPr>
                <w:sz w:val="30"/>
                <w:szCs w:val="30"/>
              </w:rPr>
            </w:pPr>
            <w:r>
              <w:t xml:space="preserve"> </w:t>
            </w:r>
          </w:p>
        </w:tc>
      </w:tr>
      <w:tr w:rsidR="008C4CFD" w14:paraId="390DA2C2" w14:textId="77777777">
        <w:tblPrEx>
          <w:tblCellMar>
            <w:top w:w="0" w:type="dxa"/>
            <w:bottom w:w="0" w:type="dxa"/>
          </w:tblCellMar>
        </w:tblPrEx>
        <w:trPr>
          <w:trHeight w:val="1129"/>
        </w:trPr>
        <w:tc>
          <w:tcPr>
            <w:tcW w:w="2544" w:type="dxa"/>
            <w:tcMar>
              <w:left w:w="0" w:type="dxa"/>
              <w:right w:w="0" w:type="dxa"/>
            </w:tcMar>
          </w:tcPr>
          <w:p w14:paraId="005B54F8" w14:textId="77777777" w:rsidR="008C4CFD" w:rsidRPr="00DC222D" w:rsidRDefault="008C4CFD" w:rsidP="008C4CFD">
            <w:pPr>
              <w:spacing w:line="220" w:lineRule="exact"/>
              <w:rPr>
                <w:b/>
                <w:bCs/>
                <w:sz w:val="26"/>
                <w:szCs w:val="26"/>
              </w:rPr>
            </w:pPr>
            <w:r w:rsidRPr="00DC222D">
              <w:rPr>
                <w:b/>
                <w:bCs/>
                <w:sz w:val="26"/>
                <w:szCs w:val="26"/>
              </w:rPr>
              <w:t>Максимальный срок осуществления административной процедуры</w:t>
            </w:r>
          </w:p>
        </w:tc>
        <w:tc>
          <w:tcPr>
            <w:tcW w:w="8616" w:type="dxa"/>
            <w:tcMar>
              <w:left w:w="0" w:type="dxa"/>
              <w:right w:w="0" w:type="dxa"/>
            </w:tcMar>
          </w:tcPr>
          <w:p w14:paraId="4AD77161" w14:textId="77777777" w:rsidR="008C4CFD" w:rsidRDefault="000B56DA" w:rsidP="00FF55BB">
            <w:pPr>
              <w:spacing w:line="280" w:lineRule="exact"/>
              <w:rPr>
                <w:sz w:val="30"/>
                <w:szCs w:val="30"/>
              </w:rPr>
            </w:pPr>
            <w:r w:rsidRPr="000B56DA">
              <w:rPr>
                <w:sz w:val="30"/>
                <w:szCs w:val="30"/>
              </w:rPr>
              <w:t>15 рабочих дней, а в случае, если требуются разработка проекта привязки средства наружной рекламы к участку местности и (или) подключение к инженерным коммуникациям, – 30 рабочих дней</w:t>
            </w:r>
          </w:p>
          <w:p w14:paraId="4625746D" w14:textId="77777777" w:rsidR="000B56DA" w:rsidRDefault="000B56DA" w:rsidP="00FF55BB">
            <w:pPr>
              <w:spacing w:line="280" w:lineRule="exact"/>
              <w:rPr>
                <w:sz w:val="30"/>
                <w:szCs w:val="30"/>
              </w:rPr>
            </w:pPr>
          </w:p>
          <w:p w14:paraId="25F047D3" w14:textId="77777777" w:rsidR="000B56DA" w:rsidRDefault="000B56DA" w:rsidP="00FF55BB">
            <w:pPr>
              <w:spacing w:line="280" w:lineRule="exact"/>
              <w:rPr>
                <w:sz w:val="30"/>
                <w:szCs w:val="30"/>
              </w:rPr>
            </w:pPr>
          </w:p>
          <w:p w14:paraId="0E003569" w14:textId="77777777" w:rsidR="000B56DA" w:rsidRDefault="000B56DA" w:rsidP="00FF55BB">
            <w:pPr>
              <w:spacing w:line="280" w:lineRule="exact"/>
              <w:rPr>
                <w:sz w:val="30"/>
                <w:szCs w:val="30"/>
              </w:rPr>
            </w:pPr>
          </w:p>
        </w:tc>
      </w:tr>
      <w:tr w:rsidR="008C4CFD" w14:paraId="62716567" w14:textId="77777777">
        <w:tblPrEx>
          <w:tblCellMar>
            <w:top w:w="0" w:type="dxa"/>
            <w:bottom w:w="0" w:type="dxa"/>
          </w:tblCellMar>
        </w:tblPrEx>
        <w:tc>
          <w:tcPr>
            <w:tcW w:w="2544" w:type="dxa"/>
            <w:tcMar>
              <w:left w:w="0" w:type="dxa"/>
              <w:right w:w="0" w:type="dxa"/>
            </w:tcMar>
          </w:tcPr>
          <w:p w14:paraId="5B29CD5C" w14:textId="77777777" w:rsidR="008C4CFD" w:rsidRPr="00DC222D" w:rsidRDefault="008C4CFD" w:rsidP="008C4CFD">
            <w:pPr>
              <w:spacing w:line="220" w:lineRule="exact"/>
              <w:rPr>
                <w:b/>
                <w:bCs/>
                <w:sz w:val="26"/>
                <w:szCs w:val="26"/>
              </w:rPr>
            </w:pPr>
            <w:r w:rsidRPr="00DC222D">
              <w:rPr>
                <w:b/>
                <w:bCs/>
                <w:sz w:val="26"/>
                <w:szCs w:val="26"/>
              </w:rPr>
              <w:t>Срок действия справки, другого документа (решения), выдаваемых (</w:t>
            </w:r>
            <w:r>
              <w:rPr>
                <w:b/>
                <w:bCs/>
                <w:sz w:val="26"/>
                <w:szCs w:val="26"/>
              </w:rPr>
              <w:t>принимаемого</w:t>
            </w:r>
            <w:r w:rsidRPr="00DC222D">
              <w:rPr>
                <w:b/>
                <w:bCs/>
                <w:sz w:val="26"/>
                <w:szCs w:val="26"/>
              </w:rPr>
              <w:t>) при осуществлении административной процедуры</w:t>
            </w:r>
          </w:p>
          <w:p w14:paraId="6DB816F0" w14:textId="77777777" w:rsidR="008C4CFD" w:rsidRPr="00DC222D" w:rsidRDefault="008C4CFD" w:rsidP="008C4CFD">
            <w:pPr>
              <w:spacing w:line="220" w:lineRule="exact"/>
              <w:rPr>
                <w:b/>
                <w:bCs/>
                <w:sz w:val="26"/>
                <w:szCs w:val="26"/>
              </w:rPr>
            </w:pPr>
          </w:p>
        </w:tc>
        <w:tc>
          <w:tcPr>
            <w:tcW w:w="8616" w:type="dxa"/>
            <w:tcMar>
              <w:left w:w="0" w:type="dxa"/>
              <w:right w:w="0" w:type="dxa"/>
            </w:tcMar>
          </w:tcPr>
          <w:p w14:paraId="4A54F132" w14:textId="77777777" w:rsidR="000B56DA" w:rsidRPr="000B56DA" w:rsidRDefault="000B56DA" w:rsidP="000B56DA">
            <w:pPr>
              <w:spacing w:line="280" w:lineRule="exact"/>
              <w:rPr>
                <w:sz w:val="30"/>
                <w:szCs w:val="30"/>
              </w:rPr>
            </w:pPr>
            <w:r w:rsidRPr="000B56DA">
              <w:rPr>
                <w:sz w:val="30"/>
                <w:szCs w:val="30"/>
              </w:rPr>
              <w:t>не менее 7 лет на мультимедийные рекламные конструкции, электронные табло</w:t>
            </w:r>
          </w:p>
          <w:p w14:paraId="37B5D651" w14:textId="77777777" w:rsidR="000B56DA" w:rsidRPr="000B56DA" w:rsidRDefault="000B56DA" w:rsidP="000B56DA">
            <w:pPr>
              <w:spacing w:line="280" w:lineRule="exact"/>
              <w:rPr>
                <w:sz w:val="30"/>
                <w:szCs w:val="30"/>
              </w:rPr>
            </w:pPr>
          </w:p>
          <w:p w14:paraId="55EBC262" w14:textId="77777777" w:rsidR="000B56DA" w:rsidRPr="000B56DA" w:rsidRDefault="000B56DA" w:rsidP="000B56DA">
            <w:pPr>
              <w:spacing w:line="280" w:lineRule="exact"/>
              <w:rPr>
                <w:sz w:val="30"/>
                <w:szCs w:val="30"/>
              </w:rPr>
            </w:pPr>
            <w:r w:rsidRPr="000B56DA">
              <w:rPr>
                <w:sz w:val="30"/>
                <w:szCs w:val="30"/>
              </w:rPr>
              <w:t>не менее 5 лет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
          <w:p w14:paraId="508D0517" w14:textId="77777777" w:rsidR="000B56DA" w:rsidRPr="000B56DA" w:rsidRDefault="000B56DA" w:rsidP="000B56DA">
            <w:pPr>
              <w:spacing w:line="280" w:lineRule="exact"/>
              <w:rPr>
                <w:sz w:val="30"/>
                <w:szCs w:val="30"/>
              </w:rPr>
            </w:pPr>
          </w:p>
          <w:p w14:paraId="4D0914E1" w14:textId="77777777" w:rsidR="000B56DA" w:rsidRPr="000B56DA" w:rsidRDefault="000B56DA" w:rsidP="000B56DA">
            <w:pPr>
              <w:spacing w:line="280" w:lineRule="exact"/>
              <w:rPr>
                <w:sz w:val="30"/>
                <w:szCs w:val="30"/>
              </w:rPr>
            </w:pPr>
            <w:r w:rsidRPr="000B56DA">
              <w:rPr>
                <w:sz w:val="30"/>
                <w:szCs w:val="30"/>
              </w:rPr>
              <w:t>не менее 3 лет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p>
          <w:p w14:paraId="7072C730" w14:textId="77777777" w:rsidR="000B56DA" w:rsidRPr="000B56DA" w:rsidRDefault="000B56DA" w:rsidP="000B56DA">
            <w:pPr>
              <w:spacing w:line="280" w:lineRule="exact"/>
              <w:rPr>
                <w:sz w:val="30"/>
                <w:szCs w:val="30"/>
              </w:rPr>
            </w:pPr>
          </w:p>
          <w:p w14:paraId="7E507944" w14:textId="77777777" w:rsidR="000B56DA" w:rsidRPr="000B56DA" w:rsidRDefault="000B56DA" w:rsidP="000B56DA">
            <w:pPr>
              <w:spacing w:line="280" w:lineRule="exact"/>
              <w:rPr>
                <w:sz w:val="30"/>
                <w:szCs w:val="30"/>
              </w:rPr>
            </w:pPr>
            <w:r w:rsidRPr="000B56DA">
              <w:rPr>
                <w:sz w:val="30"/>
                <w:szCs w:val="30"/>
              </w:rPr>
              <w:t>на вывески рекламного характера – на срок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p>
          <w:p w14:paraId="70491738" w14:textId="77777777" w:rsidR="000B56DA" w:rsidRPr="000B56DA" w:rsidRDefault="000B56DA" w:rsidP="000B56DA">
            <w:pPr>
              <w:spacing w:line="280" w:lineRule="exact"/>
              <w:rPr>
                <w:sz w:val="30"/>
                <w:szCs w:val="30"/>
              </w:rPr>
            </w:pPr>
          </w:p>
          <w:p w14:paraId="3F0CA060" w14:textId="77777777" w:rsidR="003D2571" w:rsidRPr="00EA7DD8" w:rsidRDefault="000B56DA" w:rsidP="000B56DA">
            <w:pPr>
              <w:spacing w:line="280" w:lineRule="exact"/>
              <w:rPr>
                <w:sz w:val="30"/>
                <w:szCs w:val="30"/>
              </w:rPr>
            </w:pPr>
            <w:r w:rsidRPr="000B56DA">
              <w:rPr>
                <w:sz w:val="30"/>
                <w:szCs w:val="30"/>
              </w:rPr>
              <w:t>на иные средства наружной рекламы – на срок не менее 1 года, если иное не определено договором на размещение средства наружной рекламы</w:t>
            </w:r>
          </w:p>
        </w:tc>
      </w:tr>
    </w:tbl>
    <w:p w14:paraId="334C1B27" w14:textId="77777777" w:rsidR="00724E64" w:rsidRDefault="00724E64">
      <w:pPr>
        <w:rPr>
          <w:sz w:val="30"/>
          <w:szCs w:val="30"/>
        </w:rPr>
      </w:pPr>
    </w:p>
    <w:p w14:paraId="09BA6EE1" w14:textId="77777777" w:rsidR="00421C48" w:rsidRDefault="00421C48">
      <w:pPr>
        <w:rPr>
          <w:sz w:val="30"/>
          <w:szCs w:val="30"/>
        </w:rPr>
      </w:pPr>
    </w:p>
    <w:p w14:paraId="503C5AB2" w14:textId="77777777" w:rsidR="003B64E8" w:rsidRDefault="003B64E8">
      <w:pPr>
        <w:rPr>
          <w:sz w:val="30"/>
          <w:szCs w:val="30"/>
        </w:rPr>
      </w:pPr>
    </w:p>
    <w:p w14:paraId="367037E8" w14:textId="77777777" w:rsidR="003B64E8" w:rsidRDefault="003B64E8">
      <w:pPr>
        <w:rPr>
          <w:sz w:val="30"/>
          <w:szCs w:val="30"/>
        </w:rPr>
      </w:pPr>
    </w:p>
    <w:sectPr w:rsidR="003B64E8">
      <w:pgSz w:w="11906" w:h="16838"/>
      <w:pgMar w:top="360" w:right="38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40AC" w14:textId="77777777" w:rsidR="00FD2A5A" w:rsidRDefault="00FD2A5A">
      <w:r>
        <w:separator/>
      </w:r>
    </w:p>
  </w:endnote>
  <w:endnote w:type="continuationSeparator" w:id="0">
    <w:p w14:paraId="0D8D7117" w14:textId="77777777" w:rsidR="00FD2A5A" w:rsidRDefault="00FD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63FF" w14:textId="77777777" w:rsidR="00FD2A5A" w:rsidRDefault="00FD2A5A">
      <w:r>
        <w:separator/>
      </w:r>
    </w:p>
  </w:footnote>
  <w:footnote w:type="continuationSeparator" w:id="0">
    <w:p w14:paraId="48807D82" w14:textId="77777777" w:rsidR="00FD2A5A" w:rsidRDefault="00FD2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2D"/>
    <w:rsid w:val="0000143E"/>
    <w:rsid w:val="000255B2"/>
    <w:rsid w:val="000303B4"/>
    <w:rsid w:val="000558E0"/>
    <w:rsid w:val="000563AC"/>
    <w:rsid w:val="00061EB8"/>
    <w:rsid w:val="00070CEE"/>
    <w:rsid w:val="0008606A"/>
    <w:rsid w:val="000A1362"/>
    <w:rsid w:val="000B56DA"/>
    <w:rsid w:val="0011113E"/>
    <w:rsid w:val="00114495"/>
    <w:rsid w:val="00135B4B"/>
    <w:rsid w:val="0014223B"/>
    <w:rsid w:val="00182405"/>
    <w:rsid w:val="00194488"/>
    <w:rsid w:val="00197A7B"/>
    <w:rsid w:val="001A672B"/>
    <w:rsid w:val="001B58EB"/>
    <w:rsid w:val="001F0992"/>
    <w:rsid w:val="002070D5"/>
    <w:rsid w:val="00244FDA"/>
    <w:rsid w:val="00263F6F"/>
    <w:rsid w:val="002A5E8D"/>
    <w:rsid w:val="002B4FC3"/>
    <w:rsid w:val="002D64E7"/>
    <w:rsid w:val="0031134B"/>
    <w:rsid w:val="003201B9"/>
    <w:rsid w:val="00342FDE"/>
    <w:rsid w:val="00343BCD"/>
    <w:rsid w:val="00347C0F"/>
    <w:rsid w:val="00351A28"/>
    <w:rsid w:val="00351E88"/>
    <w:rsid w:val="0037373A"/>
    <w:rsid w:val="00384C2D"/>
    <w:rsid w:val="003B64E8"/>
    <w:rsid w:val="003D2571"/>
    <w:rsid w:val="004066E3"/>
    <w:rsid w:val="004079CD"/>
    <w:rsid w:val="00421C48"/>
    <w:rsid w:val="00457A74"/>
    <w:rsid w:val="004730E9"/>
    <w:rsid w:val="00496F93"/>
    <w:rsid w:val="004A7D40"/>
    <w:rsid w:val="004D30C7"/>
    <w:rsid w:val="004E6427"/>
    <w:rsid w:val="00510CBC"/>
    <w:rsid w:val="00524DA2"/>
    <w:rsid w:val="005775D9"/>
    <w:rsid w:val="005E5C50"/>
    <w:rsid w:val="005F44C0"/>
    <w:rsid w:val="005F7B7B"/>
    <w:rsid w:val="00657E4A"/>
    <w:rsid w:val="0069112D"/>
    <w:rsid w:val="006D4895"/>
    <w:rsid w:val="006F3303"/>
    <w:rsid w:val="00715FA9"/>
    <w:rsid w:val="00724E64"/>
    <w:rsid w:val="00731670"/>
    <w:rsid w:val="007376EA"/>
    <w:rsid w:val="00744200"/>
    <w:rsid w:val="008149CD"/>
    <w:rsid w:val="00814E26"/>
    <w:rsid w:val="00816EC0"/>
    <w:rsid w:val="008320CC"/>
    <w:rsid w:val="00834F83"/>
    <w:rsid w:val="00850A2E"/>
    <w:rsid w:val="00854026"/>
    <w:rsid w:val="00892D2F"/>
    <w:rsid w:val="008A141D"/>
    <w:rsid w:val="008C1BB9"/>
    <w:rsid w:val="008C4CFD"/>
    <w:rsid w:val="008E6C7F"/>
    <w:rsid w:val="00904DB6"/>
    <w:rsid w:val="00910C2B"/>
    <w:rsid w:val="009348E4"/>
    <w:rsid w:val="0094200C"/>
    <w:rsid w:val="0094609F"/>
    <w:rsid w:val="00973F82"/>
    <w:rsid w:val="0098770D"/>
    <w:rsid w:val="009B654A"/>
    <w:rsid w:val="009F0021"/>
    <w:rsid w:val="009F18F9"/>
    <w:rsid w:val="009F4114"/>
    <w:rsid w:val="009F529C"/>
    <w:rsid w:val="00A059C3"/>
    <w:rsid w:val="00A15349"/>
    <w:rsid w:val="00A16CDF"/>
    <w:rsid w:val="00A16D13"/>
    <w:rsid w:val="00A8370F"/>
    <w:rsid w:val="00AA2580"/>
    <w:rsid w:val="00AC1E5E"/>
    <w:rsid w:val="00AD477D"/>
    <w:rsid w:val="00AD70F6"/>
    <w:rsid w:val="00B15F2B"/>
    <w:rsid w:val="00B25F3C"/>
    <w:rsid w:val="00B328B0"/>
    <w:rsid w:val="00B34933"/>
    <w:rsid w:val="00B4085B"/>
    <w:rsid w:val="00B56F01"/>
    <w:rsid w:val="00B86242"/>
    <w:rsid w:val="00BA53ED"/>
    <w:rsid w:val="00BB123E"/>
    <w:rsid w:val="00BC3C64"/>
    <w:rsid w:val="00BE0F0E"/>
    <w:rsid w:val="00C2127E"/>
    <w:rsid w:val="00C2162E"/>
    <w:rsid w:val="00C31E79"/>
    <w:rsid w:val="00C65D49"/>
    <w:rsid w:val="00C825CC"/>
    <w:rsid w:val="00C86580"/>
    <w:rsid w:val="00C92E2C"/>
    <w:rsid w:val="00CC6809"/>
    <w:rsid w:val="00CD23EE"/>
    <w:rsid w:val="00CE3E66"/>
    <w:rsid w:val="00CE6B72"/>
    <w:rsid w:val="00CF3C20"/>
    <w:rsid w:val="00CF5DFC"/>
    <w:rsid w:val="00D21CF4"/>
    <w:rsid w:val="00D307DA"/>
    <w:rsid w:val="00D4685E"/>
    <w:rsid w:val="00D5049A"/>
    <w:rsid w:val="00D5697F"/>
    <w:rsid w:val="00D65C22"/>
    <w:rsid w:val="00D7430B"/>
    <w:rsid w:val="00DA12A4"/>
    <w:rsid w:val="00DA294F"/>
    <w:rsid w:val="00DC222D"/>
    <w:rsid w:val="00DD54E5"/>
    <w:rsid w:val="00DD58C6"/>
    <w:rsid w:val="00E00F3D"/>
    <w:rsid w:val="00E2300C"/>
    <w:rsid w:val="00E3061A"/>
    <w:rsid w:val="00E5642C"/>
    <w:rsid w:val="00E66B13"/>
    <w:rsid w:val="00E82F91"/>
    <w:rsid w:val="00EA0D4B"/>
    <w:rsid w:val="00EA13B5"/>
    <w:rsid w:val="00EA7DD8"/>
    <w:rsid w:val="00EB1EA0"/>
    <w:rsid w:val="00EF06EC"/>
    <w:rsid w:val="00F2106F"/>
    <w:rsid w:val="00F41B83"/>
    <w:rsid w:val="00F50E46"/>
    <w:rsid w:val="00F53AB2"/>
    <w:rsid w:val="00F57D02"/>
    <w:rsid w:val="00F77BA3"/>
    <w:rsid w:val="00F922D8"/>
    <w:rsid w:val="00FA0282"/>
    <w:rsid w:val="00FD2A5A"/>
    <w:rsid w:val="00FD6FD7"/>
    <w:rsid w:val="00FF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71CAE"/>
  <w14:defaultImageDpi w14:val="0"/>
  <w15:docId w15:val="{B1864216-DD13-49D3-A577-6A615DAA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color w:val="000000"/>
    </w:rPr>
  </w:style>
  <w:style w:type="paragraph" w:styleId="1">
    <w:name w:val="heading 1"/>
    <w:basedOn w:val="a"/>
    <w:next w:val="a"/>
    <w:link w:val="10"/>
    <w:uiPriority w:val="99"/>
    <w:qFormat/>
    <w:rsid w:val="00C2162E"/>
    <w:pPr>
      <w:keepNext/>
      <w:jc w:val="center"/>
      <w:outlineLvl w:val="0"/>
    </w:pPr>
    <w:rPr>
      <w:rFonts w:eastAsia="MS Mincho"/>
      <w:color w:val="auto"/>
      <w:sz w:val="28"/>
      <w:szCs w:val="28"/>
      <w:lang w:eastAsia="ja-JP"/>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9"/>
    <w:locked/>
    <w:rPr>
      <w:rFonts w:ascii="Cambria" w:hAnsi="Cambria" w:cs="Cambria"/>
      <w:b/>
      <w:bCs/>
      <w:color w:val="000000"/>
      <w:kern w:val="32"/>
      <w:sz w:val="32"/>
      <w:szCs w:val="32"/>
    </w:rPr>
  </w:style>
  <w:style w:type="paragraph" w:customStyle="1" w:styleId="table10">
    <w:name w:val="table10"/>
    <w:basedOn w:val="a"/>
    <w:link w:val="table100"/>
    <w:uiPriority w:val="99"/>
    <w:pPr>
      <w:spacing w:after="100"/>
    </w:pPr>
    <w:rPr>
      <w:color w:val="auto"/>
      <w:sz w:val="20"/>
      <w:szCs w:val="20"/>
    </w:rPr>
  </w:style>
  <w:style w:type="paragraph" w:styleId="a4">
    <w:name w:val="endnote text"/>
    <w:basedOn w:val="a"/>
    <w:link w:val="a5"/>
    <w:uiPriority w:val="99"/>
    <w:semiHidden/>
    <w:rPr>
      <w:sz w:val="20"/>
      <w:szCs w:val="20"/>
    </w:rPr>
  </w:style>
  <w:style w:type="character" w:customStyle="1" w:styleId="a5">
    <w:name w:val="Текст концевой сноски Знак"/>
    <w:basedOn w:val="a0"/>
    <w:link w:val="a4"/>
    <w:uiPriority w:val="99"/>
    <w:semiHidden/>
    <w:locked/>
    <w:rPr>
      <w:rFonts w:cs="Times New Roman"/>
      <w:color w:val="000000"/>
      <w:sz w:val="20"/>
      <w:szCs w:val="20"/>
    </w:rPr>
  </w:style>
  <w:style w:type="character" w:styleId="a6">
    <w:name w:val="endnote reference"/>
    <w:basedOn w:val="a0"/>
    <w:uiPriority w:val="99"/>
    <w:semiHidden/>
    <w:rPr>
      <w:rFonts w:cs="Times New Roman"/>
      <w:vertAlign w:val="superscript"/>
    </w:rPr>
  </w:style>
  <w:style w:type="paragraph" w:styleId="3">
    <w:name w:val="Body Text 3"/>
    <w:basedOn w:val="a"/>
    <w:link w:val="30"/>
    <w:uiPriority w:val="99"/>
    <w:rPr>
      <w:sz w:val="30"/>
      <w:szCs w:val="30"/>
    </w:rPr>
  </w:style>
  <w:style w:type="character" w:customStyle="1" w:styleId="30">
    <w:name w:val="Основной текст 3 Знак"/>
    <w:basedOn w:val="a0"/>
    <w:link w:val="3"/>
    <w:uiPriority w:val="99"/>
    <w:semiHidden/>
    <w:locked/>
    <w:rPr>
      <w:rFonts w:cs="Times New Roman"/>
      <w:color w:val="000000"/>
      <w:sz w:val="16"/>
      <w:szCs w:val="16"/>
    </w:rPr>
  </w:style>
  <w:style w:type="paragraph" w:styleId="2">
    <w:name w:val="Body Text 2"/>
    <w:basedOn w:val="a"/>
    <w:link w:val="20"/>
    <w:uiPriority w:val="99"/>
    <w:pPr>
      <w:jc w:val="both"/>
    </w:pPr>
    <w:rPr>
      <w:color w:val="auto"/>
      <w:sz w:val="24"/>
      <w:szCs w:val="24"/>
    </w:rPr>
  </w:style>
  <w:style w:type="character" w:customStyle="1" w:styleId="20">
    <w:name w:val="Основной текст 2 Знак"/>
    <w:basedOn w:val="a0"/>
    <w:link w:val="2"/>
    <w:uiPriority w:val="99"/>
    <w:semiHidden/>
    <w:locked/>
    <w:rPr>
      <w:rFonts w:cs="Times New Roman"/>
      <w:color w:val="000000"/>
    </w:rPr>
  </w:style>
  <w:style w:type="paragraph" w:styleId="a7">
    <w:name w:val="footer"/>
    <w:basedOn w:val="a"/>
    <w:link w:val="a8"/>
    <w:uiPriority w:val="99"/>
    <w:pPr>
      <w:tabs>
        <w:tab w:val="center" w:pos="4677"/>
        <w:tab w:val="right" w:pos="9355"/>
      </w:tabs>
    </w:pPr>
    <w:rPr>
      <w:color w:val="auto"/>
      <w:sz w:val="30"/>
      <w:szCs w:val="30"/>
    </w:rPr>
  </w:style>
  <w:style w:type="character" w:customStyle="1" w:styleId="a8">
    <w:name w:val="Нижний колонтитул Знак"/>
    <w:basedOn w:val="a0"/>
    <w:link w:val="a7"/>
    <w:uiPriority w:val="99"/>
    <w:semiHidden/>
    <w:locked/>
    <w:rPr>
      <w:rFonts w:cs="Times New Roman"/>
      <w:color w:val="000000"/>
    </w:rPr>
  </w:style>
  <w:style w:type="paragraph" w:styleId="a9">
    <w:name w:val="Balloon Text"/>
    <w:basedOn w:val="a"/>
    <w:link w:val="aa"/>
    <w:uiPriority w:val="99"/>
    <w:semiHidden/>
    <w:rsid w:val="00DC222D"/>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color w:val="000000"/>
      <w:sz w:val="16"/>
      <w:szCs w:val="16"/>
    </w:rPr>
  </w:style>
  <w:style w:type="paragraph" w:customStyle="1" w:styleId="a1">
    <w:name w:val="Знак Знак Знак"/>
    <w:basedOn w:val="a"/>
    <w:link w:val="a0"/>
    <w:autoRedefine/>
    <w:uiPriority w:val="99"/>
    <w:rsid w:val="001B58EB"/>
    <w:pPr>
      <w:autoSpaceDE w:val="0"/>
      <w:autoSpaceDN w:val="0"/>
      <w:adjustRightInd w:val="0"/>
    </w:pPr>
    <w:rPr>
      <w:rFonts w:ascii="Arial" w:hAnsi="Arial" w:cs="Arial"/>
      <w:color w:val="auto"/>
      <w:sz w:val="20"/>
      <w:szCs w:val="20"/>
      <w:lang w:val="en-ZA" w:eastAsia="en-ZA"/>
    </w:rPr>
  </w:style>
  <w:style w:type="character" w:customStyle="1" w:styleId="table100">
    <w:name w:val="table10 Знак"/>
    <w:basedOn w:val="a0"/>
    <w:link w:val="table10"/>
    <w:uiPriority w:val="99"/>
    <w:locked/>
    <w:rsid w:val="00524DA2"/>
    <w:rPr>
      <w:rFonts w:cs="Times New Roman"/>
      <w:sz w:val="22"/>
      <w:szCs w:val="22"/>
      <w:lang w:val="ru-RU" w:eastAsia="ru-RU"/>
    </w:rPr>
  </w:style>
  <w:style w:type="paragraph" w:styleId="ab">
    <w:name w:val="Body Text Indent"/>
    <w:basedOn w:val="a"/>
    <w:link w:val="ac"/>
    <w:uiPriority w:val="99"/>
    <w:rsid w:val="00F922D8"/>
    <w:pPr>
      <w:spacing w:after="120"/>
      <w:ind w:left="283"/>
    </w:pPr>
  </w:style>
  <w:style w:type="character" w:customStyle="1" w:styleId="ac">
    <w:name w:val="Основной текст с отступом Знак"/>
    <w:basedOn w:val="a0"/>
    <w:link w:val="ab"/>
    <w:uiPriority w:val="99"/>
    <w:semiHidden/>
    <w:locked/>
    <w:rPr>
      <w:rFonts w:cs="Times New Roman"/>
      <w:color w:val="000000"/>
    </w:rPr>
  </w:style>
  <w:style w:type="paragraph" w:customStyle="1" w:styleId="11">
    <w:name w:val="Знак Знак Знак1"/>
    <w:basedOn w:val="a"/>
    <w:autoRedefine/>
    <w:uiPriority w:val="99"/>
    <w:rsid w:val="00F922D8"/>
    <w:pPr>
      <w:autoSpaceDE w:val="0"/>
      <w:autoSpaceDN w:val="0"/>
      <w:adjustRightInd w:val="0"/>
    </w:pPr>
    <w:rPr>
      <w:rFonts w:ascii="Arial" w:hAnsi="Arial" w:cs="Arial"/>
      <w:color w:val="auto"/>
      <w:sz w:val="20"/>
      <w:szCs w:val="20"/>
      <w:lang w:val="en-ZA" w:eastAsia="en-ZA"/>
    </w:rPr>
  </w:style>
  <w:style w:type="paragraph" w:styleId="ad">
    <w:name w:val="header"/>
    <w:basedOn w:val="a"/>
    <w:link w:val="ae"/>
    <w:uiPriority w:val="99"/>
    <w:rsid w:val="00A16D13"/>
    <w:pPr>
      <w:tabs>
        <w:tab w:val="center" w:pos="4153"/>
        <w:tab w:val="right" w:pos="8306"/>
      </w:tabs>
    </w:pPr>
    <w:rPr>
      <w:color w:val="auto"/>
      <w:sz w:val="20"/>
      <w:szCs w:val="20"/>
    </w:rPr>
  </w:style>
  <w:style w:type="character" w:customStyle="1" w:styleId="ae">
    <w:name w:val="Верхний колонтитул Знак"/>
    <w:basedOn w:val="a0"/>
    <w:link w:val="ad"/>
    <w:uiPriority w:val="99"/>
    <w:semiHidden/>
    <w:locked/>
    <w:rPr>
      <w:rFonts w:cs="Times New Roman"/>
      <w:color w:val="000000"/>
    </w:rPr>
  </w:style>
  <w:style w:type="paragraph" w:customStyle="1" w:styleId="af">
    <w:name w:val="Знак"/>
    <w:basedOn w:val="a"/>
    <w:autoRedefine/>
    <w:uiPriority w:val="99"/>
    <w:rsid w:val="0008606A"/>
    <w:pPr>
      <w:autoSpaceDE w:val="0"/>
      <w:autoSpaceDN w:val="0"/>
      <w:adjustRightInd w:val="0"/>
    </w:pPr>
    <w:rPr>
      <w:rFonts w:ascii="Arial" w:hAnsi="Arial" w:cs="Arial"/>
      <w:color w:val="auto"/>
      <w:sz w:val="20"/>
      <w:szCs w:val="20"/>
      <w:lang w:val="en-ZA" w:eastAsia="en-ZA"/>
    </w:rPr>
  </w:style>
  <w:style w:type="paragraph" w:customStyle="1" w:styleId="newncpi">
    <w:name w:val="newncpi"/>
    <w:basedOn w:val="a"/>
    <w:uiPriority w:val="99"/>
    <w:rsid w:val="00AC1E5E"/>
    <w:pPr>
      <w:ind w:firstLine="567"/>
      <w:jc w:val="both"/>
    </w:pPr>
    <w:rPr>
      <w:color w:val="auto"/>
      <w:sz w:val="24"/>
      <w:szCs w:val="24"/>
    </w:rPr>
  </w:style>
  <w:style w:type="character" w:customStyle="1" w:styleId="datepr">
    <w:name w:val="datepr"/>
    <w:basedOn w:val="a0"/>
    <w:uiPriority w:val="99"/>
    <w:rsid w:val="00AC1E5E"/>
    <w:rPr>
      <w:rFonts w:ascii="Times New Roman" w:hAnsi="Times New Roman" w:cs="Times New Roman"/>
    </w:rPr>
  </w:style>
  <w:style w:type="character" w:customStyle="1" w:styleId="number">
    <w:name w:val="number"/>
    <w:basedOn w:val="a0"/>
    <w:uiPriority w:val="99"/>
    <w:rsid w:val="00AC1E5E"/>
    <w:rPr>
      <w:rFonts w:ascii="Times New Roman" w:hAnsi="Times New Roman" w:cs="Times New Roman"/>
    </w:rPr>
  </w:style>
  <w:style w:type="paragraph" w:styleId="af0">
    <w:name w:val="Normal (Web)"/>
    <w:basedOn w:val="a"/>
    <w:uiPriority w:val="99"/>
    <w:unhideWhenUsed/>
    <w:rsid w:val="00973F82"/>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5528">
      <w:marLeft w:val="0"/>
      <w:marRight w:val="0"/>
      <w:marTop w:val="0"/>
      <w:marBottom w:val="0"/>
      <w:divBdr>
        <w:top w:val="none" w:sz="0" w:space="0" w:color="auto"/>
        <w:left w:val="none" w:sz="0" w:space="0" w:color="auto"/>
        <w:bottom w:val="none" w:sz="0" w:space="0" w:color="auto"/>
        <w:right w:val="none" w:sz="0" w:space="0" w:color="auto"/>
      </w:divBdr>
    </w:div>
    <w:div w:id="222565529">
      <w:marLeft w:val="0"/>
      <w:marRight w:val="0"/>
      <w:marTop w:val="0"/>
      <w:marBottom w:val="0"/>
      <w:divBdr>
        <w:top w:val="none" w:sz="0" w:space="0" w:color="auto"/>
        <w:left w:val="none" w:sz="0" w:space="0" w:color="auto"/>
        <w:bottom w:val="none" w:sz="0" w:space="0" w:color="auto"/>
        <w:right w:val="none" w:sz="0" w:space="0" w:color="auto"/>
      </w:divBdr>
    </w:div>
    <w:div w:id="222565530">
      <w:marLeft w:val="0"/>
      <w:marRight w:val="0"/>
      <w:marTop w:val="0"/>
      <w:marBottom w:val="0"/>
      <w:divBdr>
        <w:top w:val="none" w:sz="0" w:space="0" w:color="auto"/>
        <w:left w:val="none" w:sz="0" w:space="0" w:color="auto"/>
        <w:bottom w:val="none" w:sz="0" w:space="0" w:color="auto"/>
        <w:right w:val="none" w:sz="0" w:space="0" w:color="auto"/>
      </w:divBdr>
    </w:div>
    <w:div w:id="222565531">
      <w:marLeft w:val="0"/>
      <w:marRight w:val="0"/>
      <w:marTop w:val="0"/>
      <w:marBottom w:val="0"/>
      <w:divBdr>
        <w:top w:val="none" w:sz="0" w:space="0" w:color="auto"/>
        <w:left w:val="none" w:sz="0" w:space="0" w:color="auto"/>
        <w:bottom w:val="none" w:sz="0" w:space="0" w:color="auto"/>
        <w:right w:val="none" w:sz="0" w:space="0" w:color="auto"/>
      </w:divBdr>
    </w:div>
    <w:div w:id="222565532">
      <w:marLeft w:val="0"/>
      <w:marRight w:val="0"/>
      <w:marTop w:val="0"/>
      <w:marBottom w:val="0"/>
      <w:divBdr>
        <w:top w:val="none" w:sz="0" w:space="0" w:color="auto"/>
        <w:left w:val="none" w:sz="0" w:space="0" w:color="auto"/>
        <w:bottom w:val="none" w:sz="0" w:space="0" w:color="auto"/>
        <w:right w:val="none" w:sz="0" w:space="0" w:color="auto"/>
      </w:divBdr>
    </w:div>
    <w:div w:id="222565533">
      <w:marLeft w:val="0"/>
      <w:marRight w:val="0"/>
      <w:marTop w:val="0"/>
      <w:marBottom w:val="0"/>
      <w:divBdr>
        <w:top w:val="none" w:sz="0" w:space="0" w:color="auto"/>
        <w:left w:val="none" w:sz="0" w:space="0" w:color="auto"/>
        <w:bottom w:val="none" w:sz="0" w:space="0" w:color="auto"/>
        <w:right w:val="none" w:sz="0" w:space="0" w:color="auto"/>
      </w:divBdr>
    </w:div>
    <w:div w:id="222565534">
      <w:marLeft w:val="0"/>
      <w:marRight w:val="0"/>
      <w:marTop w:val="0"/>
      <w:marBottom w:val="0"/>
      <w:divBdr>
        <w:top w:val="none" w:sz="0" w:space="0" w:color="auto"/>
        <w:left w:val="none" w:sz="0" w:space="0" w:color="auto"/>
        <w:bottom w:val="none" w:sz="0" w:space="0" w:color="auto"/>
        <w:right w:val="none" w:sz="0" w:space="0" w:color="auto"/>
      </w:divBdr>
    </w:div>
    <w:div w:id="222565535">
      <w:marLeft w:val="0"/>
      <w:marRight w:val="0"/>
      <w:marTop w:val="0"/>
      <w:marBottom w:val="0"/>
      <w:divBdr>
        <w:top w:val="none" w:sz="0" w:space="0" w:color="auto"/>
        <w:left w:val="none" w:sz="0" w:space="0" w:color="auto"/>
        <w:bottom w:val="none" w:sz="0" w:space="0" w:color="auto"/>
        <w:right w:val="none" w:sz="0" w:space="0" w:color="auto"/>
      </w:divBdr>
    </w:div>
    <w:div w:id="222565536">
      <w:marLeft w:val="0"/>
      <w:marRight w:val="0"/>
      <w:marTop w:val="0"/>
      <w:marBottom w:val="0"/>
      <w:divBdr>
        <w:top w:val="none" w:sz="0" w:space="0" w:color="auto"/>
        <w:left w:val="none" w:sz="0" w:space="0" w:color="auto"/>
        <w:bottom w:val="none" w:sz="0" w:space="0" w:color="auto"/>
        <w:right w:val="none" w:sz="0" w:space="0" w:color="auto"/>
      </w:divBdr>
    </w:div>
    <w:div w:id="222565537">
      <w:marLeft w:val="0"/>
      <w:marRight w:val="0"/>
      <w:marTop w:val="0"/>
      <w:marBottom w:val="0"/>
      <w:divBdr>
        <w:top w:val="none" w:sz="0" w:space="0" w:color="auto"/>
        <w:left w:val="none" w:sz="0" w:space="0" w:color="auto"/>
        <w:bottom w:val="none" w:sz="0" w:space="0" w:color="auto"/>
        <w:right w:val="none" w:sz="0" w:space="0" w:color="auto"/>
      </w:divBdr>
    </w:div>
    <w:div w:id="222565538">
      <w:marLeft w:val="0"/>
      <w:marRight w:val="0"/>
      <w:marTop w:val="0"/>
      <w:marBottom w:val="0"/>
      <w:divBdr>
        <w:top w:val="none" w:sz="0" w:space="0" w:color="auto"/>
        <w:left w:val="none" w:sz="0" w:space="0" w:color="auto"/>
        <w:bottom w:val="none" w:sz="0" w:space="0" w:color="auto"/>
        <w:right w:val="none" w:sz="0" w:space="0" w:color="auto"/>
      </w:divBdr>
    </w:div>
    <w:div w:id="2225655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Административная процедура №1</dc:title>
  <dc:subject/>
  <dc:creator>1</dc:creator>
  <cp:keywords/>
  <dc:description/>
  <cp:lastModifiedBy>Татьяна</cp:lastModifiedBy>
  <cp:revision>2</cp:revision>
  <cp:lastPrinted>2011-01-11T05:44:00Z</cp:lastPrinted>
  <dcterms:created xsi:type="dcterms:W3CDTF">2021-07-22T14:13:00Z</dcterms:created>
  <dcterms:modified xsi:type="dcterms:W3CDTF">2021-07-22T14:13:00Z</dcterms:modified>
</cp:coreProperties>
</file>