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36" w:rsidRDefault="004C783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ДЕКРЕТ ПРЕЗИДЕНТА РЕСПУБЛИКИ БЕЛАРУСЬ</w:t>
      </w:r>
    </w:p>
    <w:p w:rsidR="004C7836" w:rsidRDefault="004C783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ноября 2021 г. № 7</w:t>
      </w:r>
    </w:p>
    <w:p w:rsidR="004C7836" w:rsidRDefault="004C783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изменении Декрета Президента Республики Беларусь</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pacing w:val="30"/>
          <w:sz w:val="24"/>
          <w:szCs w:val="24"/>
        </w:rPr>
      </w:pPr>
      <w:r>
        <w:rPr>
          <w:rFonts w:ascii="Times New Roman" w:hAnsi="Times New Roman" w:cs="Times New Roman"/>
          <w:color w:val="000000"/>
          <w:sz w:val="24"/>
          <w:szCs w:val="24"/>
        </w:rPr>
        <w:t xml:space="preserve">В соответствии с </w:t>
      </w:r>
      <w:hyperlink r:id="rId5" w:history="1">
        <w:r>
          <w:rPr>
            <w:rFonts w:ascii="Times New Roman" w:hAnsi="Times New Roman" w:cs="Times New Roman"/>
            <w:color w:val="0000FF"/>
            <w:sz w:val="24"/>
            <w:szCs w:val="24"/>
            <w:lang w:val="x-none"/>
          </w:rPr>
          <w:t>частью третьей статьи 101 Конституции</w:t>
        </w:r>
      </w:hyperlink>
      <w:r>
        <w:rPr>
          <w:rFonts w:ascii="Times New Roman" w:hAnsi="Times New Roman" w:cs="Times New Roman"/>
          <w:color w:val="000000"/>
          <w:sz w:val="24"/>
          <w:szCs w:val="24"/>
        </w:rPr>
        <w:t xml:space="preserve"> Республики Беларусь </w:t>
      </w:r>
      <w:r>
        <w:rPr>
          <w:rFonts w:ascii="Times New Roman" w:hAnsi="Times New Roman" w:cs="Times New Roman"/>
          <w:color w:val="000000"/>
          <w:spacing w:val="30"/>
          <w:sz w:val="24"/>
          <w:szCs w:val="24"/>
        </w:rPr>
        <w:t>постановляю:</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 xml:space="preserve">1. Внести в </w:t>
      </w:r>
      <w:hyperlink r:id="rId6" w:history="1">
        <w:r>
          <w:rPr>
            <w:rFonts w:ascii="Times New Roman" w:hAnsi="Times New Roman" w:cs="Times New Roman"/>
            <w:color w:val="0000FF"/>
            <w:sz w:val="24"/>
            <w:szCs w:val="24"/>
            <w:lang w:val="x-none"/>
          </w:rPr>
          <w:t>Декрет</w:t>
        </w:r>
      </w:hyperlink>
      <w:r>
        <w:rPr>
          <w:rFonts w:ascii="Times New Roman" w:hAnsi="Times New Roman" w:cs="Times New Roman"/>
          <w:color w:val="000000"/>
          <w:sz w:val="24"/>
          <w:szCs w:val="24"/>
        </w:rPr>
        <w:t xml:space="preserve"> Президента Республики Беларусь от 25 мая 2020 г. № 3 «Об иностранной безвозмездной помощи» следующие изменения:</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_ПП_1_1_1CN__underpoint_1_1"/>
      <w:bookmarkEnd w:id="1"/>
      <w:r>
        <w:rPr>
          <w:rFonts w:ascii="Times New Roman" w:hAnsi="Times New Roman" w:cs="Times New Roman"/>
          <w:color w:val="000000"/>
          <w:sz w:val="24"/>
          <w:szCs w:val="24"/>
        </w:rPr>
        <w:t>1.1. часть вторую пункта 1 после слов «втором–тринадцатом» дополнить словом «, пятнадцатом»;</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2 изложить в следующей редакции:</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Запрещается получение и (или) использование помощи для следующих целей (в связи со следующим):</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террористической и иной экстремистской деятельности, других деяний, запрещенных законодательством, а равно причиняющих вред национальной безопасности, государственным и (или) общественным интересам или создающих угрозу причинения такого вреда;</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политических партий, союзов (ассоциаций) политических партий;</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или проведение выборов, референдумов, отзыв депутатов Палаты представителей Национального собрания Республики Беларусь, членов Совета Республики Национального собрания Республики Беларусь, депутатов местного Совета депутатов, организация либо проведение собраний, митингов, уличных шествий, демонстраций, пикетирования, забастовок, изготовление или распространение агитационных материалов;</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мероприятий, направленных на проведение политической и агитационно-массовой работы среди населения.»;</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1_ПП_1_2_2CN__underpoint_1_2"/>
      <w:bookmarkEnd w:id="2"/>
      <w:r>
        <w:rPr>
          <w:rFonts w:ascii="Times New Roman" w:hAnsi="Times New Roman" w:cs="Times New Roman"/>
          <w:color w:val="000000"/>
          <w:sz w:val="24"/>
          <w:szCs w:val="24"/>
        </w:rPr>
        <w:t>1.2. в приложении к Декрету:</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3 и 4 изложить в следующей редакции:</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Денежные средства – денежные средства в наличной и безналичной формах (включая поступившие получателям путем погашения электронных денег),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вносимых иностранным учредителем юридического лица в качестве взноса (вклада) в уставный фонд, и процентов, полученных от размещения денежных средств во вклады (депозиты) в банках.</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Имущество – недвижимое имущество, расположенное на территории Республики Беларусь, за исключением недвижимого имущества, вносимого в качестве вклада в уставный фонд юридического лица его иностранным учредителем, и перемещаемых вещей, приравненных в соответствии с гражданским законодательством к недвижимому имуществу.»;</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приложение пунктом 5[1] следующего содержания:</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 Иностранные анонимные жертвователи – лица, предоставившие иностранную безвозмездную помощь, в том числе перечислившие денежные средства через банк-нерезидент, и не указавшие в платежных, иных документах сведения, позволяющие их идентифицировать (фамилия, имя, отчество (если таковое имеется), место жительства и (или) место пребывания (страна), наименование организации, банковские реквизиты), либо указавшие недостоверные сведения.»;</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10 изложить в следующей редакции:</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Отправители – иностранные государства в лице их государственных органов или дипломатических представительств, межгосударственные образования, иностранные и международные юридические лица (организации, не являющиеся юридическими лицами), граждане Республики Беларусь, постоянно проживающие за пределами Республики Беларусь либо находящиеся за пределами Республики Беларусь более 183 дней в течение 12 месяцев, предшествующих месяцу предоставления помощи, иностранные граждане и лица без гражданства, не имеющие разрешений на постоянное проживание в Республике Беларусь, а также иностранные анонимные жертвователи.»;</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12 изложить в следующей редакции:</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Товар – движимые вещи, иные перемещаемые вещи, приравненные в соответствии с гражданским законодательством к недвижимому имуществу, за исключением таких вещей, вносимых в качестве вклада в уставный фонд юридического лица его иностранным учредителем, а также денежных средств и ценных бумаг.».</w:t>
      </w:r>
    </w:p>
    <w:p w:rsidR="004C7836" w:rsidRDefault="004C7836">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4C7836" w:rsidRDefault="004C7836">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Частью второй пункта 4 настоящего Декрета установлено, что пункт 2 данного Декрета действует до вступления в силу закона Республики Беларусь о внесении соответствующих изменений в </w:t>
      </w:r>
      <w:hyperlink r:id="rId7" w:history="1">
        <w:r>
          <w:rPr>
            <w:rFonts w:ascii="Times New Roman" w:hAnsi="Times New Roman" w:cs="Times New Roman"/>
            <w:color w:val="0000FF"/>
            <w:sz w:val="24"/>
            <w:szCs w:val="24"/>
            <w:lang w:val="x-none"/>
          </w:rPr>
          <w:t>Уголовный кодекс</w:t>
        </w:r>
      </w:hyperlink>
      <w:r>
        <w:rPr>
          <w:rFonts w:ascii="Times New Roman" w:hAnsi="Times New Roman" w:cs="Times New Roman"/>
          <w:color w:val="000000"/>
          <w:sz w:val="24"/>
          <w:szCs w:val="24"/>
        </w:rPr>
        <w:t xml:space="preserve"> Республики Беларусь, </w:t>
      </w:r>
      <w:hyperlink r:id="rId8" w:history="1">
        <w:r>
          <w:rPr>
            <w:rFonts w:ascii="Times New Roman" w:hAnsi="Times New Roman" w:cs="Times New Roman"/>
            <w:color w:val="0000FF"/>
            <w:sz w:val="24"/>
            <w:szCs w:val="24"/>
            <w:lang w:val="x-none"/>
          </w:rPr>
          <w:t>Кодекс Республики Беларусь об административных правонарушениях</w:t>
        </w:r>
      </w:hyperlink>
      <w:r>
        <w:rPr>
          <w:rFonts w:ascii="Times New Roman" w:hAnsi="Times New Roman" w:cs="Times New Roman"/>
          <w:color w:val="000000"/>
          <w:sz w:val="24"/>
          <w:szCs w:val="24"/>
        </w:rPr>
        <w:t xml:space="preserve"> и </w:t>
      </w:r>
      <w:hyperlink r:id="rId9" w:history="1">
        <w:r>
          <w:rPr>
            <w:rFonts w:ascii="Times New Roman" w:hAnsi="Times New Roman" w:cs="Times New Roman"/>
            <w:color w:val="0000FF"/>
            <w:sz w:val="24"/>
            <w:szCs w:val="24"/>
            <w:lang w:val="x-none"/>
          </w:rPr>
          <w:t>Процессуально-исполнительный кодекс Республики Беларусь об административных правонарушениях</w:t>
        </w:r>
      </w:hyperlink>
      <w:r>
        <w:rPr>
          <w:rFonts w:ascii="Times New Roman" w:hAnsi="Times New Roman" w:cs="Times New Roman"/>
          <w:color w:val="000000"/>
          <w:sz w:val="24"/>
          <w:szCs w:val="24"/>
        </w:rPr>
        <w:t>.</w:t>
      </w:r>
    </w:p>
    <w:p w:rsidR="004C7836" w:rsidRDefault="004C7836">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4C7836" w:rsidRDefault="004C7836">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2_2CN__point_2"/>
      <w:bookmarkEnd w:id="3"/>
      <w:r>
        <w:rPr>
          <w:rFonts w:ascii="Times New Roman" w:hAnsi="Times New Roman" w:cs="Times New Roman"/>
          <w:color w:val="000000"/>
          <w:sz w:val="24"/>
          <w:szCs w:val="24"/>
        </w:rPr>
        <w:t>2. Установить, что получение и (или) использование иностранной безвозмездной помощи в случаях, запрещенных законодательством, влечет наложение штрафа в размере от пяти до тридцати базовых величин с конфискацией этой помощи, а на юридическое лицо – до ста процентов от суммы (стоимости) иностранной безвозмездной помощи с конфискацией этой помощи.</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Предоставить право составлять протоколы об административных правонарушениях, предусмотренных в части первой настоящего пункта, уполномоченным должностным лицам органов внутренних дел, Комитета государственного контроля, а рассматривать дела о данном правонарушении – районному (городскому) суду.</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Действия, указанные в части первой настоящего пункта, совершенные в течение года после наложения административного взыскания за такое же правонарушение, наказываются штрафом, или арестом, или ограничением свободы на срок до трех лет, или лишением свободы на срок до двух лет.</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Предварительное следствие по уголовным делам о преступлениях, предусмотренных в части третьей настоящего пункта, производится следователями Следственного комитета.</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3_3CN__point_3"/>
      <w:bookmarkEnd w:id="4"/>
      <w:r>
        <w:rPr>
          <w:rFonts w:ascii="Times New Roman" w:hAnsi="Times New Roman" w:cs="Times New Roman"/>
          <w:color w:val="000000"/>
          <w:sz w:val="24"/>
          <w:szCs w:val="24"/>
        </w:rPr>
        <w:t>3. Совету Министров Республики Беларусь и Управлению делами Президента Республики Беларусь обеспечить приведение актов законодательства в соответствие с настоящим Декретом и принять иные меры по его реализации.</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4_4CN__point_4"/>
      <w:bookmarkEnd w:id="5"/>
      <w:r>
        <w:rPr>
          <w:rFonts w:ascii="Times New Roman" w:hAnsi="Times New Roman" w:cs="Times New Roman"/>
          <w:color w:val="000000"/>
          <w:sz w:val="24"/>
          <w:szCs w:val="24"/>
        </w:rPr>
        <w:t>4. Настоящий Декрет вступает в силу через три месяца после его официального опубликования.</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 настоящего Декрета действует до вступления в силу закона Республики Беларусь о внесении соответствующих изменений в </w:t>
      </w:r>
      <w:hyperlink r:id="rId10" w:history="1">
        <w:r>
          <w:rPr>
            <w:rFonts w:ascii="Times New Roman" w:hAnsi="Times New Roman" w:cs="Times New Roman"/>
            <w:color w:val="0000FF"/>
            <w:sz w:val="24"/>
            <w:szCs w:val="24"/>
            <w:lang w:val="x-none"/>
          </w:rPr>
          <w:t>Уголовный кодекс</w:t>
        </w:r>
      </w:hyperlink>
      <w:r>
        <w:rPr>
          <w:rFonts w:ascii="Times New Roman" w:hAnsi="Times New Roman" w:cs="Times New Roman"/>
          <w:color w:val="000000"/>
          <w:sz w:val="24"/>
          <w:szCs w:val="24"/>
        </w:rPr>
        <w:t xml:space="preserve"> Республики Беларусь, </w:t>
      </w:r>
      <w:hyperlink r:id="rId11" w:history="1">
        <w:r>
          <w:rPr>
            <w:rFonts w:ascii="Times New Roman" w:hAnsi="Times New Roman" w:cs="Times New Roman"/>
            <w:color w:val="0000FF"/>
            <w:sz w:val="24"/>
            <w:szCs w:val="24"/>
            <w:lang w:val="x-none"/>
          </w:rPr>
          <w:t>Кодекс Республики Беларусь об административных правонарушениях</w:t>
        </w:r>
      </w:hyperlink>
      <w:r>
        <w:rPr>
          <w:rFonts w:ascii="Times New Roman" w:hAnsi="Times New Roman" w:cs="Times New Roman"/>
          <w:color w:val="000000"/>
          <w:sz w:val="24"/>
          <w:szCs w:val="24"/>
        </w:rPr>
        <w:t xml:space="preserve"> и </w:t>
      </w:r>
      <w:hyperlink r:id="rId12" w:history="1">
        <w:r>
          <w:rPr>
            <w:rFonts w:ascii="Times New Roman" w:hAnsi="Times New Roman" w:cs="Times New Roman"/>
            <w:color w:val="0000FF"/>
            <w:sz w:val="24"/>
            <w:szCs w:val="24"/>
            <w:lang w:val="x-none"/>
          </w:rPr>
          <w:t>Процессуально-исполнительный кодекс Республики Беларусь об административных правонарушениях</w:t>
        </w:r>
      </w:hyperlink>
      <w:r>
        <w:rPr>
          <w:rFonts w:ascii="Times New Roman" w:hAnsi="Times New Roman" w:cs="Times New Roman"/>
          <w:color w:val="000000"/>
          <w:sz w:val="24"/>
          <w:szCs w:val="24"/>
        </w:rPr>
        <w:t>.</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5_5CN__point_5"/>
      <w:bookmarkEnd w:id="6"/>
      <w:r>
        <w:rPr>
          <w:rFonts w:ascii="Times New Roman" w:hAnsi="Times New Roman" w:cs="Times New Roman"/>
          <w:color w:val="000000"/>
          <w:sz w:val="24"/>
          <w:szCs w:val="24"/>
        </w:rPr>
        <w:t xml:space="preserve">5. Настоящий Декрет является временным и согласно </w:t>
      </w:r>
      <w:hyperlink r:id="rId13" w:history="1">
        <w:r>
          <w:rPr>
            <w:rFonts w:ascii="Times New Roman" w:hAnsi="Times New Roman" w:cs="Times New Roman"/>
            <w:color w:val="0000FF"/>
            <w:sz w:val="24"/>
            <w:szCs w:val="24"/>
            <w:lang w:val="x-none"/>
          </w:rPr>
          <w:t>части третьей статьи 101 Конституции</w:t>
        </w:r>
      </w:hyperlink>
      <w:r>
        <w:rPr>
          <w:rFonts w:ascii="Times New Roman" w:hAnsi="Times New Roman" w:cs="Times New Roman"/>
          <w:color w:val="000000"/>
          <w:sz w:val="24"/>
          <w:szCs w:val="24"/>
        </w:rPr>
        <w:t xml:space="preserve"> Республики Беларусь представляется на рассмотрение Национального собрания Республики Беларусь.</w:t>
      </w:r>
    </w:p>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C7836">
        <w:tc>
          <w:tcPr>
            <w:tcW w:w="2500" w:type="pct"/>
            <w:tcBorders>
              <w:top w:val="nil"/>
              <w:left w:val="nil"/>
              <w:bottom w:val="nil"/>
              <w:right w:val="nil"/>
            </w:tcBorders>
            <w:vAlign w:val="bottom"/>
          </w:tcPr>
          <w:p w:rsidR="004C7836" w:rsidRDefault="004C783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4C7836" w:rsidRDefault="004C7836">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4C7836" w:rsidRDefault="004C783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5354B" w:rsidRPr="004C7836" w:rsidRDefault="0095354B" w:rsidP="004C7836">
      <w:bookmarkStart w:id="7" w:name="_GoBack"/>
      <w:bookmarkEnd w:id="7"/>
    </w:p>
    <w:sectPr w:rsidR="0095354B" w:rsidRPr="004C7836" w:rsidSect="00EE2A86">
      <w:headerReference w:type="default" r:id="rId14"/>
      <w:footerReference w:type="defaul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4C7836"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17.12.2021</w:t>
          </w:r>
        </w:p>
      </w:tc>
      <w:tc>
        <w:tcPr>
          <w:tcW w:w="1381" w:type="pct"/>
        </w:tcPr>
        <w:p w:rsidR="00D96E53" w:rsidRPr="00D96E53" w:rsidRDefault="004C7836"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4C783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w:t>
          </w:r>
          <w:r w:rsidRPr="00D96E53">
            <w:rPr>
              <w:rFonts w:ascii="Times New Roman" w:hAnsi="Times New Roman" w:cs="Times New Roman"/>
              <w:sz w:val="14"/>
              <w:szCs w:val="14"/>
            </w:rPr>
            <w:fldChar w:fldCharType="end"/>
          </w:r>
        </w:p>
      </w:tc>
    </w:tr>
  </w:tbl>
  <w:p w:rsidR="009E3A2F" w:rsidRPr="009D179B" w:rsidRDefault="004C7836"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4C7836"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Декрет от 08.11.2021 № 7 «Об изменении Декрета Президента Республики Беларусь»</w:t>
          </w:r>
        </w:p>
      </w:tc>
      <w:tc>
        <w:tcPr>
          <w:tcW w:w="1607" w:type="dxa"/>
        </w:tcPr>
        <w:p w:rsidR="00B84B94" w:rsidRDefault="004C7836"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21.12.2021</w:t>
          </w:r>
        </w:p>
      </w:tc>
    </w:tr>
  </w:tbl>
  <w:p w:rsidR="00B84B94" w:rsidRPr="00B82B7A" w:rsidRDefault="004C7836"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36"/>
    <w:rsid w:val="004C7836"/>
    <w:rsid w:val="0095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0#1#308138#0#" TargetMode="External"/><Relationship Id="rId13" Type="http://schemas.openxmlformats.org/officeDocument/2006/relationships/hyperlink" Target="H#0#0#1#2203#0#CA0|&#1056;&#1047;~IV~4|&#1043;&#1051;~4~4|&#1057;&#1058;~101~101CN~|articleintext=101::4" TargetMode="External"/><Relationship Id="rId3" Type="http://schemas.openxmlformats.org/officeDocument/2006/relationships/settings" Target="settings.xml"/><Relationship Id="rId7" Type="http://schemas.openxmlformats.org/officeDocument/2006/relationships/hyperlink" Target="H#0#0#1#25154#0#" TargetMode="External"/><Relationship Id="rId12" Type="http://schemas.openxmlformats.org/officeDocument/2006/relationships/hyperlink" Target="H#0#0#1#308139#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0#0#1#296916#0#" TargetMode="External"/><Relationship Id="rId11" Type="http://schemas.openxmlformats.org/officeDocument/2006/relationships/hyperlink" Target="H#0#0#1#308138#0#" TargetMode="External"/><Relationship Id="rId5" Type="http://schemas.openxmlformats.org/officeDocument/2006/relationships/hyperlink" Target="H#0#0#1#2203#0#CA0|&#1056;&#1047;~IV~4|&#1043;&#1051;~4~4|&#1057;&#1058;~101~101CN~|articleintext=101::4" TargetMode="External"/><Relationship Id="rId15" Type="http://schemas.openxmlformats.org/officeDocument/2006/relationships/footer" Target="footer1.xml"/><Relationship Id="rId10" Type="http://schemas.openxmlformats.org/officeDocument/2006/relationships/hyperlink" Target="H#0#0#1#25154#0#" TargetMode="External"/><Relationship Id="rId4" Type="http://schemas.openxmlformats.org/officeDocument/2006/relationships/webSettings" Target="webSettings.xml"/><Relationship Id="rId9" Type="http://schemas.openxmlformats.org/officeDocument/2006/relationships/hyperlink" Target="H#0#0#1#308139#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Vileyka</dc:creator>
  <cp:lastModifiedBy>Vileyka</cp:lastModifiedBy>
  <cp:revision>1</cp:revision>
  <dcterms:created xsi:type="dcterms:W3CDTF">2021-12-21T08:03:00Z</dcterms:created>
  <dcterms:modified xsi:type="dcterms:W3CDTF">2021-12-21T08:06:00Z</dcterms:modified>
</cp:coreProperties>
</file>