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0E" w:rsidRDefault="00B64E0E">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ДЕКРЕТ ПРЕЗИДЕНТА РЕСПУБЛИКИ БЕЛАРУСЬ</w:t>
      </w:r>
    </w:p>
    <w:p w:rsidR="00B64E0E" w:rsidRDefault="00B64E0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мая 2020 г. № 3</w:t>
      </w:r>
    </w:p>
    <w:p w:rsidR="00B64E0E" w:rsidRDefault="00B64E0E">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иностранной безвозмездной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совершенствования порядка регистрации, налогообложения, использования иностранной безвозмездной помощи и в соответствии с </w:t>
      </w:r>
      <w:hyperlink r:id="rId5" w:history="1">
        <w:r>
          <w:rPr>
            <w:rFonts w:ascii="Times New Roman" w:hAnsi="Times New Roman" w:cs="Times New Roman"/>
            <w:color w:val="0000FF"/>
            <w:sz w:val="24"/>
            <w:szCs w:val="24"/>
            <w:lang w:val="x-none"/>
          </w:rPr>
          <w:t>частью третьей статьи 101 Конституции</w:t>
        </w:r>
      </w:hyperlink>
      <w:r>
        <w:rPr>
          <w:rFonts w:ascii="Times New Roman" w:hAnsi="Times New Roman" w:cs="Times New Roman"/>
          <w:color w:val="000000"/>
          <w:sz w:val="24"/>
          <w:szCs w:val="24"/>
        </w:rPr>
        <w:t xml:space="preserve">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1. Установить, что иностранная безвозмездная помощь* (далее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для: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оказания медицинской помощи, в том числе медико-социальной 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предупреждения и ликвидации чрезвычайных ситуаций природного 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укрепления материально-технической базы государственных учреждений (включая государственные органы);</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строительства, ремонта (реконструкции) объектов социального назначения;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создания и развития библиотек, формирования и обработки библиотечных фондов;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создания и развития музеев, комплектования музейных фондов;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обучения и повышения квалификации работников государственных учреждений (включая государственные органы);</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атрибутикой, фармакологическими и восстановительными средствами, витаминными белково-глюкозными препаратами;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Получателями – физическими лицами помощь может использоваться для личных целей, а также для целей, указанных в абзацах втором–тринадцатом части первой настоящего пункта.</w:t>
      </w:r>
    </w:p>
    <w:p w:rsidR="00B64E0E" w:rsidRDefault="00B64E0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64E0E" w:rsidRDefault="00B64E0E">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Декрета термины используются в значениях, определенных в приложении.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2CN__point_2"/>
      <w:bookmarkEnd w:id="1"/>
      <w:r>
        <w:rPr>
          <w:rFonts w:ascii="Times New Roman" w:hAnsi="Times New Roman" w:cs="Times New Roman"/>
          <w:color w:val="000000"/>
          <w:sz w:val="24"/>
          <w:szCs w:val="24"/>
        </w:rPr>
        <w:t>2. Запрещается использование помощи для: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осуществления террористической и иной экстремистской деятельности, других деяний, запрещенных законодательством, либо финансирования политических партий, союзов (ассоциаций) политических партий;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подготовки или проведения выборов, референдумов, отзыва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организации либо проведения собраний, митингов, уличных шествий, демонстраций, пикетирования, забастовок, изготовления или распространения агитационных материалов;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мероприятий, направленных на проведение политической и агитационно-массовой работы среди населения.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3CN__point_3"/>
      <w:bookmarkEnd w:id="2"/>
      <w:r>
        <w:rPr>
          <w:rFonts w:ascii="Times New Roman" w:hAnsi="Times New Roman" w:cs="Times New Roman"/>
          <w:color w:val="000000"/>
          <w:sz w:val="24"/>
          <w:szCs w:val="24"/>
        </w:rPr>
        <w:t>3. Не допускается предоставление в качестве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запрещенных к ввозу товаров;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пищевых продуктов со сроком годности менее 4 месяцев с даты ввоза в Республику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транспортных средств, с года выпуска которых прошло более 15 лет.</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4_4CN__point_4"/>
      <w:bookmarkEnd w:id="3"/>
      <w:r>
        <w:rPr>
          <w:rFonts w:ascii="Times New Roman" w:hAnsi="Times New Roman" w:cs="Times New Roman"/>
          <w:color w:val="000000"/>
          <w:sz w:val="24"/>
          <w:szCs w:val="24"/>
        </w:rPr>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лица и индивидуальные предприниматели;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физические лица и данные лица ходатайствуют об освобождении от подоходного налога с физических лиц.</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5_5CN__point_5"/>
      <w:bookmarkEnd w:id="4"/>
      <w:r>
        <w:rPr>
          <w:rFonts w:ascii="Times New Roman" w:hAnsi="Times New Roman" w:cs="Times New Roman"/>
          <w:color w:val="000000"/>
          <w:sz w:val="24"/>
          <w:szCs w:val="24"/>
        </w:rPr>
        <w:t>5. Регистрация помощи осуществляется в Департаменте по заявлениям получателей.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Документом, подтверждающим регистрацию помощи, является удостоверение, выдаваемое Департаментом.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документов, представляемых в Департамент для регистрации помощи, отчета о ее использовании и удостоверения устанавливаются Управлением делами Президента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6_6CN__point_6"/>
      <w:bookmarkEnd w:id="5"/>
      <w:r>
        <w:rPr>
          <w:rFonts w:ascii="Times New Roman" w:hAnsi="Times New Roman" w:cs="Times New Roman"/>
          <w:color w:val="000000"/>
          <w:sz w:val="24"/>
          <w:szCs w:val="24"/>
        </w:rPr>
        <w:t>6.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регистрацию помощи, освобожденной от налогов, сборов (пошлин) в полном объеме, плата не взимается.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поступающие в качестве платы за регистрацию помощи на текущий (расчетный) банковский счет Департамента: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облагаются налогами, сборами (пошлинами);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направляются на оплату труда работников Департамента, осуществляющих работу с заявлениями о регистрации помощи*, и на иные цели, предусмотренные в соответствующей смете доходов и расходов внебюджетных средств Департамента, утвержденной Управляющим делами Президента Республики Беларусь.</w:t>
      </w:r>
    </w:p>
    <w:p w:rsidR="00B64E0E" w:rsidRDefault="00B64E0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64E0E" w:rsidRDefault="00B64E0E">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7_7CN__point_7"/>
      <w:bookmarkEnd w:id="6"/>
      <w:r>
        <w:rPr>
          <w:rFonts w:ascii="Times New Roman" w:hAnsi="Times New Roman" w:cs="Times New Roman"/>
          <w:color w:val="000000"/>
          <w:sz w:val="24"/>
          <w:szCs w:val="24"/>
        </w:rPr>
        <w:t>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8_8CN__point_8"/>
      <w:bookmarkEnd w:id="7"/>
      <w:r>
        <w:rPr>
          <w:rFonts w:ascii="Times New Roman" w:hAnsi="Times New Roman" w:cs="Times New Roman"/>
          <w:color w:val="000000"/>
          <w:sz w:val="24"/>
          <w:szCs w:val="24"/>
        </w:rPr>
        <w:t>8. Помощь, подлежащая регистрации, может быть освобождена от налогов, сборов (пошлин) в порядке и на условиях, установленных настоящим Декретом.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Помощь, направляемая на оплату общехозяйственных расходов, не освобождается от налогов, сборов (пошлин).</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Налогообложение помощи, не подлежащей регистрации, производится в порядке и на условиях, установленных законодательством.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9_9CN__point_9"/>
      <w:bookmarkEnd w:id="8"/>
      <w:r>
        <w:rPr>
          <w:rFonts w:ascii="Times New Roman" w:hAnsi="Times New Roman" w:cs="Times New Roman"/>
          <w:color w:val="000000"/>
          <w:sz w:val="24"/>
          <w:szCs w:val="24"/>
        </w:rPr>
        <w:t>9. Решение об освобождении помощи от налогов, сборов (пошлин) принимается: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Управлением делами Президента Республики Беларусь – при направлении юридическими лицами и индивидуальными предпринимателями помощи на цели, </w:t>
      </w:r>
      <w:r>
        <w:rPr>
          <w:rFonts w:ascii="Times New Roman" w:hAnsi="Times New Roman" w:cs="Times New Roman"/>
          <w:color w:val="000000"/>
          <w:sz w:val="24"/>
          <w:szCs w:val="24"/>
        </w:rPr>
        <w:lastRenderedPageBreak/>
        <w:t>предусмотренные в абзацах втором–тринадцатом части первой пункта 1 настоящего Декрета;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Межведомственной комиссией – в иных случаях.</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10_10CN__point_10"/>
      <w:bookmarkEnd w:id="9"/>
      <w:r>
        <w:rPr>
          <w:rFonts w:ascii="Times New Roman" w:hAnsi="Times New Roman" w:cs="Times New Roman"/>
          <w:color w:val="000000"/>
          <w:sz w:val="24"/>
          <w:szCs w:val="24"/>
        </w:rPr>
        <w:t>10. Решения об освобождении помощи от 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 целесообразности такого освобождения*.</w:t>
      </w:r>
    </w:p>
    <w:p w:rsidR="00B64E0E" w:rsidRDefault="00B64E0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64E0E" w:rsidRDefault="00B64E0E">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11_11CN__point_11"/>
      <w:bookmarkEnd w:id="10"/>
      <w:r>
        <w:rPr>
          <w:rFonts w:ascii="Times New Roman" w:hAnsi="Times New Roman" w:cs="Times New Roman"/>
          <w:color w:val="000000"/>
          <w:sz w:val="24"/>
          <w:szCs w:val="24"/>
        </w:rPr>
        <w:t>11. Помощь может освобождаться: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налога на добавленную стоимость в части оборотов по дальнейшей безвозмездной передаче получателем (вторичным (последующим) получателем):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 При этом положения </w:t>
      </w:r>
      <w:hyperlink r:id="rId6" w:history="1">
        <w:r>
          <w:rPr>
            <w:rFonts w:ascii="Times New Roman" w:hAnsi="Times New Roman" w:cs="Times New Roman"/>
            <w:color w:val="0000FF"/>
            <w:sz w:val="24"/>
            <w:szCs w:val="24"/>
            <w:lang w:val="x-none"/>
          </w:rPr>
          <w:t>пункта 15 статьи 133 Налогового кодекса</w:t>
        </w:r>
      </w:hyperlink>
      <w:r>
        <w:rPr>
          <w:rFonts w:ascii="Times New Roman" w:hAnsi="Times New Roman" w:cs="Times New Roman"/>
          <w:color w:val="000000"/>
          <w:sz w:val="24"/>
          <w:szCs w:val="24"/>
        </w:rPr>
        <w:t xml:space="preserve"> Республики Беларусь получателем (вторичным (последующим) получателем) не применяются;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подоходного налога с физических лиц в части доходов физических лиц и индивидуальных предпринимателей в размере полученной помощи, а также доходов 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получателей, – в части денежных средств, стоимости товаров (имущества), полученных в качестве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вторичных (последующих) получателей, – в части денежных средств, стоимости товаров (имущества), полученных в качестве помощи, стоимости безвозмездно </w:t>
      </w:r>
      <w:r>
        <w:rPr>
          <w:rFonts w:ascii="Times New Roman" w:hAnsi="Times New Roman" w:cs="Times New Roman"/>
          <w:color w:val="000000"/>
          <w:sz w:val="24"/>
          <w:szCs w:val="24"/>
        </w:rPr>
        <w:lastRenderedPageBreak/>
        <w:t>полученных товаров (имущества), выполненных работ, оказанных услуг на территории Республики Беларусь, оплаченных получателями в порядке согласно плану за счет зарегистрированных в качестве помощи денежных средств отправителей;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B64E0E" w:rsidRDefault="00B64E0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B64E0E" w:rsidRDefault="00B64E0E">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 исключением помощи в виде беспроцентных займов, товаров (имущества), предоставленных в безвозмездное пользование.</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12_12CN__point_12"/>
      <w:bookmarkEnd w:id="11"/>
      <w:r>
        <w:rPr>
          <w:rFonts w:ascii="Times New Roman" w:hAnsi="Times New Roman" w:cs="Times New Roman"/>
          <w:color w:val="000000"/>
          <w:sz w:val="24"/>
          <w:szCs w:val="24"/>
        </w:rPr>
        <w:t>12. Для целей исчисления подоходного налога с физических лиц с доходов, полученных от осуществления предпринимательской деятельности,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внереализационными доходами в соответствии с налоговым законодательством, включается в состав внереализационных доходов: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получателями в причитающемся им размере – на дату выдачи удостоверения;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вторичными (последующими) получателями в причитающемся им размере – на дату фактического получения таких доходов.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13_13CN__point_13"/>
      <w:bookmarkEnd w:id="12"/>
      <w:r>
        <w:rPr>
          <w:rFonts w:ascii="Times New Roman" w:hAnsi="Times New Roman" w:cs="Times New Roman"/>
          <w:color w:val="000000"/>
          <w:sz w:val="24"/>
          <w:szCs w:val="24"/>
        </w:rPr>
        <w:t>13. Получатели (вторичные (последующие) получатели) направляют и используют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14_14CN__point_14"/>
      <w:bookmarkEnd w:id="13"/>
      <w:r>
        <w:rPr>
          <w:rFonts w:ascii="Times New Roman" w:hAnsi="Times New Roman" w:cs="Times New Roman"/>
          <w:color w:val="000000"/>
          <w:sz w:val="24"/>
          <w:szCs w:val="24"/>
        </w:rPr>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15_15CN__point_15"/>
      <w:bookmarkEnd w:id="14"/>
      <w:r>
        <w:rPr>
          <w:rFonts w:ascii="Times New Roman" w:hAnsi="Times New Roman" w:cs="Times New Roman"/>
          <w:color w:val="000000"/>
          <w:sz w:val="24"/>
          <w:szCs w:val="24"/>
        </w:rPr>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16_16CN__point_16"/>
      <w:bookmarkEnd w:id="15"/>
      <w:r>
        <w:rPr>
          <w:rFonts w:ascii="Times New Roman" w:hAnsi="Times New Roman" w:cs="Times New Roman"/>
          <w:color w:val="000000"/>
          <w:sz w:val="24"/>
          <w:szCs w:val="24"/>
        </w:rPr>
        <w:t>16.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 Указанные требования не распространяются на случаи: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обращение взыскания на денежные средства, находящиеся на благотворительном счете, производится на основании исполнительного или иного документа, вид взыскания по которому соответствует целевому назначению средств, находящихся на данном благотворительном счете;</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_17_17CN__point_17"/>
      <w:bookmarkEnd w:id="16"/>
      <w:r>
        <w:rPr>
          <w:rFonts w:ascii="Times New Roman" w:hAnsi="Times New Roman" w:cs="Times New Roman"/>
          <w:color w:val="000000"/>
          <w:sz w:val="24"/>
          <w:szCs w:val="24"/>
        </w:rPr>
        <w:t>17. Банками ежемесячно не позднее 15-го числа месяца, следующего за отчетным, на безвозмездной основе представляется в Департамент информация: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поступлении из-за рубежа денежных средств на благотворительные счета юридических лиц и индивидуальных предпринимателей;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поступлении денежных средств из-за рубежа на счета в банках, за исключением благотворительных счетов, в адрес некоммерческих организаций;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перечислении, выдаче, возврате денежных средств с благотворительного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форма представления банками информации, предусмотренной в части первой настоящего пункта, определяются Национальным банком.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_18_18CN__point_18"/>
      <w:bookmarkEnd w:id="17"/>
      <w:r>
        <w:rPr>
          <w:rFonts w:ascii="Times New Roman" w:hAnsi="Times New Roman" w:cs="Times New Roman"/>
          <w:color w:val="000000"/>
          <w:sz w:val="24"/>
          <w:szCs w:val="24"/>
        </w:rPr>
        <w:t xml:space="preserve">18. 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получения и использования помощи осуществляется в соответствии с договорами об информационном взаимодействии, в том </w:t>
      </w:r>
      <w:r>
        <w:rPr>
          <w:rFonts w:ascii="Times New Roman" w:hAnsi="Times New Roman" w:cs="Times New Roman"/>
          <w:color w:val="000000"/>
          <w:sz w:val="24"/>
          <w:szCs w:val="24"/>
        </w:rPr>
        <w:lastRenderedPageBreak/>
        <w:t>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 В случае, если такая информация содержит персональные данные граждан, ее предоставление осуществляется без письменного согласия этих лиц.</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_19_19CN__point_19"/>
      <w:bookmarkEnd w:id="18"/>
      <w:r>
        <w:rPr>
          <w:rFonts w:ascii="Times New Roman" w:hAnsi="Times New Roman" w:cs="Times New Roman"/>
          <w:color w:val="000000"/>
          <w:sz w:val="24"/>
          <w:szCs w:val="24"/>
        </w:rPr>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_20_20CN__point_20"/>
      <w:bookmarkEnd w:id="19"/>
      <w:r>
        <w:rPr>
          <w:rFonts w:ascii="Times New Roman" w:hAnsi="Times New Roman" w:cs="Times New Roman"/>
          <w:color w:val="000000"/>
          <w:sz w:val="24"/>
          <w:szCs w:val="24"/>
        </w:rPr>
        <w:t>20. Контроль за получением и целевым использованием помощи осуществляется в соответствии с законодательством о контрольной (надзорной) деятельности.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_21_21CN__point_21"/>
      <w:bookmarkEnd w:id="20"/>
      <w:r>
        <w:rPr>
          <w:rFonts w:ascii="Times New Roman" w:hAnsi="Times New Roman" w:cs="Times New Roman"/>
          <w:color w:val="000000"/>
          <w:sz w:val="24"/>
          <w:szCs w:val="24"/>
        </w:rPr>
        <w:t>21.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_22_22CN__point_22"/>
      <w:bookmarkEnd w:id="21"/>
      <w:r>
        <w:rPr>
          <w:rFonts w:ascii="Times New Roman" w:hAnsi="Times New Roman" w:cs="Times New Roman"/>
          <w:color w:val="000000"/>
          <w:sz w:val="24"/>
          <w:szCs w:val="24"/>
        </w:rPr>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товаров взыскиваются неуплаченные таможенные платежи, пени и (или) проценты, начисленные в связи с нецелевым использованием таких товаров.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_23_23CN__point_23"/>
      <w:bookmarkEnd w:id="22"/>
      <w:r>
        <w:rPr>
          <w:rFonts w:ascii="Times New Roman" w:hAnsi="Times New Roman" w:cs="Times New Roman"/>
          <w:color w:val="000000"/>
          <w:sz w:val="24"/>
          <w:szCs w:val="24"/>
        </w:rPr>
        <w:t>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_24_24CN__point_24"/>
      <w:bookmarkEnd w:id="23"/>
      <w:r>
        <w:rPr>
          <w:rFonts w:ascii="Times New Roman" w:hAnsi="Times New Roman" w:cs="Times New Roman"/>
          <w:color w:val="000000"/>
          <w:sz w:val="24"/>
          <w:szCs w:val="24"/>
        </w:rPr>
        <w:t>24. 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_25_25CN__point_25"/>
      <w:bookmarkEnd w:id="24"/>
      <w:r>
        <w:rPr>
          <w:rFonts w:ascii="Times New Roman" w:hAnsi="Times New Roman" w:cs="Times New Roman"/>
          <w:color w:val="000000"/>
          <w:sz w:val="24"/>
          <w:szCs w:val="24"/>
        </w:rPr>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_26_26CN__point_26"/>
      <w:bookmarkEnd w:id="25"/>
      <w:r>
        <w:rPr>
          <w:rFonts w:ascii="Times New Roman" w:hAnsi="Times New Roman" w:cs="Times New Roman"/>
          <w:color w:val="000000"/>
          <w:sz w:val="24"/>
          <w:szCs w:val="24"/>
        </w:rPr>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товаров для использования в производственно-хозяйственной деятельности получателя стоимостью до 500 базовых величин на дату их поступления;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рекламной продукции;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образцов товаров, предназначенных для проведения испытаний (сертификации), изучения их технических характеристик и потребительских свойств.</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_27_27CN__point_27"/>
      <w:bookmarkEnd w:id="26"/>
      <w:r>
        <w:rPr>
          <w:rFonts w:ascii="Times New Roman" w:hAnsi="Times New Roman" w:cs="Times New Roman"/>
          <w:color w:val="000000"/>
          <w:sz w:val="24"/>
          <w:szCs w:val="24"/>
        </w:rPr>
        <w:t>27. Действие настоящего Декрета не распространяется на: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международную техническую помощь;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помощь, получаемую банками, Национальным банком, ОАО «Банк развития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помощь, получаемую Национальным олимпийским комитетом Республики Беларусь в рамках программ Международного олимпийского комитета, Олимпийской солидарности Международного 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 также на развитие олимпийского движения в Республике Беларусь и укрепление ее престижа на международной арене.</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_28_28CN__point_28"/>
      <w:bookmarkEnd w:id="27"/>
      <w:r>
        <w:rPr>
          <w:rFonts w:ascii="Times New Roman" w:hAnsi="Times New Roman" w:cs="Times New Roman"/>
          <w:color w:val="000000"/>
          <w:sz w:val="24"/>
          <w:szCs w:val="24"/>
        </w:rPr>
        <w:t xml:space="preserve">28. Признать утратившим силу </w:t>
      </w:r>
      <w:hyperlink r:id="rId7" w:history="1">
        <w:r>
          <w:rPr>
            <w:rFonts w:ascii="Times New Roman" w:hAnsi="Times New Roman" w:cs="Times New Roman"/>
            <w:color w:val="A5A4FF"/>
            <w:sz w:val="24"/>
            <w:szCs w:val="24"/>
            <w:lang w:val="x-none"/>
          </w:rPr>
          <w:t>Декрет</w:t>
        </w:r>
      </w:hyperlink>
      <w:r>
        <w:rPr>
          <w:rFonts w:ascii="Times New Roman" w:hAnsi="Times New Roman" w:cs="Times New Roman"/>
          <w:color w:val="000000"/>
          <w:sz w:val="24"/>
          <w:szCs w:val="24"/>
        </w:rPr>
        <w:t xml:space="preserve"> Президента Республики Беларусь от 31 августа 2015 г. № 5 «Об иностранной безвозмездной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_29_29CN__point_29"/>
      <w:bookmarkEnd w:id="28"/>
      <w:r>
        <w:rPr>
          <w:rFonts w:ascii="Times New Roman" w:hAnsi="Times New Roman" w:cs="Times New Roman"/>
          <w:color w:val="000000"/>
          <w:sz w:val="24"/>
          <w:szCs w:val="24"/>
        </w:rPr>
        <w:t>29. До приведения актов законодательства в соответствие с настоящим Декретом они применяются в части, не противоречащей этому Декрету.</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Представление до 1 января 2021 г. в Департамент информации, предусмотренной в пункте 17 настоящего Декрета, осуществляется банками в порядке и по форме, </w:t>
      </w:r>
      <w:r>
        <w:rPr>
          <w:rFonts w:ascii="Times New Roman" w:hAnsi="Times New Roman" w:cs="Times New Roman"/>
          <w:color w:val="000000"/>
          <w:sz w:val="24"/>
          <w:szCs w:val="24"/>
        </w:rPr>
        <w:lastRenderedPageBreak/>
        <w:t>определенным Национальным банком и действовавшим до вступления в силу настоящего Декрета.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_30_30CN__point_30"/>
      <w:bookmarkEnd w:id="29"/>
      <w:r>
        <w:rPr>
          <w:rFonts w:ascii="Times New Roman" w:hAnsi="Times New Roman" w:cs="Times New Roman"/>
          <w:color w:val="000000"/>
          <w:sz w:val="24"/>
          <w:szCs w:val="24"/>
        </w:rPr>
        <w:t>30. Предоставить Управлению делами Президента Республики Беларусь право разъяснять вопросы применения настоящего Декрета.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_31_31CN__point_31"/>
      <w:bookmarkEnd w:id="30"/>
      <w:r>
        <w:rPr>
          <w:rFonts w:ascii="Times New Roman" w:hAnsi="Times New Roman" w:cs="Times New Roman"/>
          <w:color w:val="000000"/>
          <w:sz w:val="24"/>
          <w:szCs w:val="24"/>
        </w:rPr>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_32_32CN__point_32"/>
      <w:bookmarkEnd w:id="31"/>
      <w:r>
        <w:rPr>
          <w:rFonts w:ascii="Times New Roman" w:hAnsi="Times New Roman" w:cs="Times New Roman"/>
          <w:color w:val="000000"/>
          <w:sz w:val="24"/>
          <w:szCs w:val="24"/>
        </w:rPr>
        <w:t>32. Настоящий Декрет вступает в силу в следующем порядке:</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17 – с 1 января 2021 г.;</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третья пункта 29, часть первая пункта 31 и настоящий пункт – после официального опубликования этого Декрета;</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настоящего Декрета – через три месяца после его официального опубликования.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_33_33CN__point_33"/>
      <w:bookmarkEnd w:id="32"/>
      <w:r>
        <w:rPr>
          <w:rFonts w:ascii="Times New Roman" w:hAnsi="Times New Roman" w:cs="Times New Roman"/>
          <w:color w:val="000000"/>
          <w:sz w:val="24"/>
          <w:szCs w:val="24"/>
        </w:rPr>
        <w:t xml:space="preserve">33. Настоящий Декрет является временным и согласно </w:t>
      </w:r>
      <w:hyperlink r:id="rId8" w:history="1">
        <w:r>
          <w:rPr>
            <w:rFonts w:ascii="Times New Roman" w:hAnsi="Times New Roman" w:cs="Times New Roman"/>
            <w:color w:val="0000FF"/>
            <w:sz w:val="24"/>
            <w:szCs w:val="24"/>
            <w:lang w:val="x-none"/>
          </w:rPr>
          <w:t>части третьей статьи 101 Конституции</w:t>
        </w:r>
      </w:hyperlink>
      <w:r>
        <w:rPr>
          <w:rFonts w:ascii="Times New Roman" w:hAnsi="Times New Roman" w:cs="Times New Roman"/>
          <w:color w:val="000000"/>
          <w:sz w:val="24"/>
          <w:szCs w:val="24"/>
        </w:rPr>
        <w:t xml:space="preserve"> Республики Беларусь представляется на рассмотрение Национального собрания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64E0E">
        <w:tc>
          <w:tcPr>
            <w:tcW w:w="2500" w:type="pct"/>
            <w:tcBorders>
              <w:top w:val="nil"/>
              <w:left w:val="nil"/>
              <w:bottom w:val="nil"/>
              <w:right w:val="nil"/>
            </w:tcBorders>
            <w:vAlign w:val="bottom"/>
          </w:tcPr>
          <w:p w:rsidR="00B64E0E" w:rsidRDefault="00B64E0E">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B64E0E" w:rsidRDefault="00B64E0E">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B64E0E" w:rsidRDefault="00B64E0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64E0E">
        <w:tc>
          <w:tcPr>
            <w:tcW w:w="3750" w:type="pct"/>
            <w:tcBorders>
              <w:top w:val="nil"/>
              <w:left w:val="nil"/>
              <w:bottom w:val="nil"/>
              <w:right w:val="nil"/>
            </w:tcBorders>
          </w:tcPr>
          <w:p w:rsidR="00B64E0E" w:rsidRDefault="00B64E0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64E0E" w:rsidRDefault="00B64E0E">
            <w:pPr>
              <w:autoSpaceDE w:val="0"/>
              <w:autoSpaceDN w:val="0"/>
              <w:adjustRightInd w:val="0"/>
              <w:spacing w:after="30" w:line="300" w:lineRule="auto"/>
              <w:rPr>
                <w:rFonts w:ascii="Times New Roman" w:hAnsi="Times New Roman" w:cs="Times New Roman"/>
                <w:color w:val="000000"/>
                <w:sz w:val="24"/>
                <w:szCs w:val="24"/>
              </w:rPr>
            </w:pPr>
            <w:bookmarkStart w:id="33" w:name="CA0_ПРЛ__1"/>
            <w:bookmarkEnd w:id="33"/>
            <w:r>
              <w:rPr>
                <w:rFonts w:ascii="Times New Roman" w:hAnsi="Times New Roman" w:cs="Times New Roman"/>
                <w:color w:val="000000"/>
                <w:sz w:val="24"/>
                <w:szCs w:val="24"/>
              </w:rPr>
              <w:t>Приложение</w:t>
            </w:r>
          </w:p>
          <w:p w:rsidR="00B64E0E" w:rsidRDefault="00B64E0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Декрету Президента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25.05.2020 № 3</w:t>
            </w:r>
          </w:p>
        </w:tc>
      </w:tr>
    </w:tbl>
    <w:p w:rsidR="00B64E0E" w:rsidRDefault="00B64E0E">
      <w:pPr>
        <w:autoSpaceDE w:val="0"/>
        <w:autoSpaceDN w:val="0"/>
        <w:adjustRightInd w:val="0"/>
        <w:spacing w:before="240" w:after="240" w:line="300" w:lineRule="auto"/>
        <w:rPr>
          <w:rFonts w:ascii="Times New Roman" w:hAnsi="Times New Roman" w:cs="Times New Roman"/>
          <w:b/>
          <w:color w:val="000000"/>
          <w:sz w:val="24"/>
          <w:szCs w:val="24"/>
        </w:rPr>
      </w:pPr>
      <w:bookmarkStart w:id="34" w:name="CA0_ПРЛ__1_ПРЧ__1"/>
      <w:bookmarkEnd w:id="34"/>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используемых терминов и их определений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РЛ__1_ПРЧ__1_П_1_34CN__point_1"/>
      <w:bookmarkEnd w:id="35"/>
      <w:r>
        <w:rPr>
          <w:rFonts w:ascii="Times New Roman" w:hAnsi="Times New Roman" w:cs="Times New Roman"/>
          <w:color w:val="000000"/>
          <w:sz w:val="24"/>
          <w:szCs w:val="24"/>
        </w:rPr>
        <w:t>1. 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РЛ__1_ПРЧ__1_П_2_35CN__point_2"/>
      <w:bookmarkEnd w:id="36"/>
      <w:r>
        <w:rPr>
          <w:rFonts w:ascii="Times New Roman" w:hAnsi="Times New Roman" w:cs="Times New Roman"/>
          <w:color w:val="000000"/>
          <w:sz w:val="24"/>
          <w:szCs w:val="24"/>
        </w:rPr>
        <w:t xml:space="preserve">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плану целевого использования помощи в целях ее использования, а </w:t>
      </w:r>
      <w:r>
        <w:rPr>
          <w:rFonts w:ascii="Times New Roman" w:hAnsi="Times New Roman" w:cs="Times New Roman"/>
          <w:color w:val="000000"/>
          <w:sz w:val="24"/>
          <w:szCs w:val="24"/>
        </w:rPr>
        <w:lastRenderedPageBreak/>
        <w:t>также для дальнейшей передачи помощи физическим лицам, индивидуальным предпринимателям и юридическим лицам в целях ее использования.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РЛ__1_ПРЧ__1_П_3_36CN__point_3"/>
      <w:bookmarkEnd w:id="37"/>
      <w:r>
        <w:rPr>
          <w:rFonts w:ascii="Times New Roman" w:hAnsi="Times New Roman" w:cs="Times New Roman"/>
          <w:color w:val="000000"/>
          <w:sz w:val="24"/>
          <w:szCs w:val="24"/>
        </w:rPr>
        <w:t>3. Денежные средства – денежные средства,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выделяемых иностранным учредителем юридического лица в качестве взноса (вклада) в уставный фонд, а также процентов, полученных от размещения денежных средств во вклады (депозиты) в банках.</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РЛ__1_ПРЧ__1_П_4_37CN__point_4"/>
      <w:bookmarkEnd w:id="38"/>
      <w:r>
        <w:rPr>
          <w:rFonts w:ascii="Times New Roman" w:hAnsi="Times New Roman" w:cs="Times New Roman"/>
          <w:color w:val="000000"/>
          <w:sz w:val="24"/>
          <w:szCs w:val="24"/>
        </w:rPr>
        <w:t>4. Имущество – недвижимое имущество,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РЛ__1_ПРЧ__1_П_5_38CN__point_5"/>
      <w:bookmarkEnd w:id="39"/>
      <w:r>
        <w:rPr>
          <w:rFonts w:ascii="Times New Roman" w:hAnsi="Times New Roman" w:cs="Times New Roman"/>
          <w:color w:val="000000"/>
          <w:sz w:val="24"/>
          <w:szCs w:val="24"/>
        </w:rPr>
        <w:t>5. Иностранная безвозмездная помощь: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РЛ__1_ПРЧ__1_П_6_39CN__point_6"/>
      <w:bookmarkEnd w:id="40"/>
      <w:r>
        <w:rPr>
          <w:rFonts w:ascii="Times New Roman" w:hAnsi="Times New Roman" w:cs="Times New Roman"/>
          <w:color w:val="000000"/>
          <w:sz w:val="24"/>
          <w:szCs w:val="24"/>
        </w:rPr>
        <w:t>6. 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РЛ__1_ПРЧ__1_П_7_40CN__point_7"/>
      <w:bookmarkEnd w:id="41"/>
      <w:r>
        <w:rPr>
          <w:rFonts w:ascii="Times New Roman" w:hAnsi="Times New Roman" w:cs="Times New Roman"/>
          <w:color w:val="000000"/>
          <w:sz w:val="24"/>
          <w:szCs w:val="24"/>
        </w:rPr>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РЛ__1_ПРЧ__1_П_8_41CN__point_8"/>
      <w:bookmarkEnd w:id="42"/>
      <w:r>
        <w:rPr>
          <w:rFonts w:ascii="Times New Roman" w:hAnsi="Times New Roman" w:cs="Times New Roman"/>
          <w:color w:val="000000"/>
          <w:sz w:val="24"/>
          <w:szCs w:val="24"/>
        </w:rPr>
        <w:t>8. Нецелевое использование помощи – использование помощи на цели и (или) в размерах, не предусмотренных в плане целевого использования помощи, а также перечисление (выдача), передача помощи вторичным (последующим) получателям, не указанным в таком плане.</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РЛ__1_ПРЧ__1_П_9_42CN__point_9"/>
      <w:bookmarkEnd w:id="43"/>
      <w:r>
        <w:rPr>
          <w:rFonts w:ascii="Times New Roman" w:hAnsi="Times New Roman" w:cs="Times New Roman"/>
          <w:color w:val="000000"/>
          <w:sz w:val="24"/>
          <w:szCs w:val="24"/>
        </w:rPr>
        <w:t xml:space="preserve">9. 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w:t>
      </w:r>
      <w:r>
        <w:rPr>
          <w:rFonts w:ascii="Times New Roman" w:hAnsi="Times New Roman" w:cs="Times New Roman"/>
          <w:color w:val="000000"/>
          <w:sz w:val="24"/>
          <w:szCs w:val="24"/>
        </w:rPr>
        <w:lastRenderedPageBreak/>
        <w:t>спортивно-технических школ, специализированных детско-юношеских школ олимпийского резерва и спортивно-технических школ, центров олимпийского 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ресоциализации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 числе передвижных), клубов, дворцов (домов, центров) культуры, физкультурно-спортивные сооружения, театры, кинотеатры, вокзалы.</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РЛ__1_ПРЧ__1_П_10_43CN__point_10"/>
      <w:bookmarkEnd w:id="44"/>
      <w:r>
        <w:rPr>
          <w:rFonts w:ascii="Times New Roman" w:hAnsi="Times New Roman" w:cs="Times New Roman"/>
          <w:color w:val="000000"/>
          <w:sz w:val="24"/>
          <w:szCs w:val="24"/>
        </w:rPr>
        <w:t>10. Отправители – иностранные государства в лице их государственных органов или дипломатических представительств, международные организации, межгосударственные образования, иностранные организации, граждане Республики Беларусь, постоянно проживающие за пределами Республики Беларусь,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РЛ__1_ПРЧ__1_П_11_44CN__point_11"/>
      <w:bookmarkEnd w:id="45"/>
      <w:r>
        <w:rPr>
          <w:rFonts w:ascii="Times New Roman" w:hAnsi="Times New Roman" w:cs="Times New Roman"/>
          <w:color w:val="000000"/>
          <w:sz w:val="24"/>
          <w:szCs w:val="24"/>
        </w:rPr>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РЛ__1_ПРЧ__1_П_12_45CN__point_12"/>
      <w:bookmarkEnd w:id="46"/>
      <w:r>
        <w:rPr>
          <w:rFonts w:ascii="Times New Roman" w:hAnsi="Times New Roman" w:cs="Times New Roman"/>
          <w:color w:val="000000"/>
          <w:sz w:val="24"/>
          <w:szCs w:val="24"/>
        </w:rPr>
        <w:t>12. Товар – движимые вещи (за исключением денежных средств и ценных бумаг), а также иные перемещаемые вещи, приравненные в соответствии с гражданским законодательством к недвижимому имуществу.</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РЛ__1_ПРЧ__1_П_13_46CN__point_13"/>
      <w:bookmarkEnd w:id="47"/>
      <w:r>
        <w:rPr>
          <w:rFonts w:ascii="Times New Roman" w:hAnsi="Times New Roman" w:cs="Times New Roman"/>
          <w:color w:val="000000"/>
          <w:sz w:val="24"/>
          <w:szCs w:val="24"/>
        </w:rPr>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B64E0E" w:rsidRDefault="00B64E0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84F8D" w:rsidRPr="00B64E0E" w:rsidRDefault="00484F8D" w:rsidP="00B64E0E">
      <w:bookmarkStart w:id="48" w:name="_GoBack"/>
      <w:bookmarkEnd w:id="48"/>
    </w:p>
    <w:sectPr w:rsidR="00484F8D" w:rsidRPr="00B64E0E" w:rsidSect="00CD76CF">
      <w:headerReference w:type="default"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B64E0E"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17.12.2021</w:t>
          </w:r>
        </w:p>
      </w:tc>
      <w:tc>
        <w:tcPr>
          <w:tcW w:w="1381" w:type="pct"/>
        </w:tcPr>
        <w:p w:rsidR="00D96E53" w:rsidRPr="00D96E53" w:rsidRDefault="00B64E0E"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64E0E"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11</w:t>
          </w:r>
          <w:r w:rsidRPr="00D96E53">
            <w:rPr>
              <w:rFonts w:ascii="Times New Roman" w:hAnsi="Times New Roman" w:cs="Times New Roman"/>
              <w:sz w:val="14"/>
              <w:szCs w:val="14"/>
            </w:rPr>
            <w:fldChar w:fldCharType="end"/>
          </w:r>
        </w:p>
      </w:tc>
    </w:tr>
  </w:tbl>
  <w:p w:rsidR="009E3A2F" w:rsidRPr="009D179B" w:rsidRDefault="00B64E0E"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B64E0E"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Декрет от 25.05.2020 № 3 «Об иностранной безвозмездной помощи»</w:t>
          </w:r>
        </w:p>
      </w:tc>
      <w:tc>
        <w:tcPr>
          <w:tcW w:w="1607" w:type="dxa"/>
        </w:tcPr>
        <w:p w:rsidR="00B84B94" w:rsidRDefault="00B64E0E"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21.12.2021</w:t>
          </w:r>
        </w:p>
      </w:tc>
    </w:tr>
  </w:tbl>
  <w:p w:rsidR="00B84B94" w:rsidRPr="00B82B7A" w:rsidRDefault="00B64E0E"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0E"/>
    <w:rsid w:val="00484F8D"/>
    <w:rsid w:val="00B6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0#1#2203#0#CA0|&#1056;&#1047;~IV~4|&#1043;&#1051;~4~4|&#1057;&#1058;~101~101CN~|articleintext=101::4" TargetMode="External"/><Relationship Id="rId3" Type="http://schemas.openxmlformats.org/officeDocument/2006/relationships/settings" Target="settings.xml"/><Relationship Id="rId7" Type="http://schemas.openxmlformats.org/officeDocument/2006/relationships/hyperlink" Target="H#0#0#1#228148#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0#0#1#130349#0#CA0|&#1054;&#1057;&#1063;~~1|&#1056;&#1047;~V~1|&#1043;&#1051;~14~1|&#1057;&#1058;~133~22|&#1055;~15~211CN~|point=15" TargetMode="External"/><Relationship Id="rId11" Type="http://schemas.openxmlformats.org/officeDocument/2006/relationships/fontTable" Target="fontTable.xml"/><Relationship Id="rId5" Type="http://schemas.openxmlformats.org/officeDocument/2006/relationships/hyperlink" Target="H#0#0#1#2203#0#CA0|&#1056;&#1047;~IV~4|&#1043;&#1051;~4~4|&#1057;&#1058;~101~101CN~|articleintext=101::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4298</Words>
  <Characters>24501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Vileyka</dc:creator>
  <cp:lastModifiedBy>Vileyka</cp:lastModifiedBy>
  <cp:revision>1</cp:revision>
  <dcterms:created xsi:type="dcterms:W3CDTF">2021-12-21T07:55:00Z</dcterms:created>
  <dcterms:modified xsi:type="dcterms:W3CDTF">2021-12-21T08:02:00Z</dcterms:modified>
</cp:coreProperties>
</file>