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4E3" w:rsidRPr="00410B91" w:rsidRDefault="008A44E3" w:rsidP="00AD5800">
      <w:pPr>
        <w:pStyle w:val="a3"/>
        <w:jc w:val="both"/>
        <w:rPr>
          <w:bCs/>
          <w:sz w:val="28"/>
          <w:szCs w:val="28"/>
        </w:rPr>
      </w:pPr>
      <w:bookmarkStart w:id="0" w:name="_GoBack"/>
      <w:bookmarkEnd w:id="0"/>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513"/>
      </w:tblGrid>
      <w:tr w:rsidR="00CA5CF4" w:rsidRPr="003E47AF" w:rsidTr="00CA5CF4">
        <w:tc>
          <w:tcPr>
            <w:tcW w:w="9923" w:type="dxa"/>
            <w:gridSpan w:val="2"/>
          </w:tcPr>
          <w:p w:rsidR="00CA5CF4" w:rsidRDefault="00CA5CF4" w:rsidP="00796C5A">
            <w:pPr>
              <w:widowControl w:val="0"/>
              <w:spacing w:after="0" w:line="280" w:lineRule="exact"/>
              <w:jc w:val="center"/>
              <w:rPr>
                <w:rFonts w:ascii="Times New Roman" w:hAnsi="Times New Roman"/>
                <w:b/>
                <w:color w:val="000000"/>
                <w:sz w:val="30"/>
                <w:szCs w:val="30"/>
              </w:rPr>
            </w:pPr>
            <w:r w:rsidRPr="00CA5CF4">
              <w:rPr>
                <w:rFonts w:ascii="Times New Roman" w:hAnsi="Times New Roman"/>
                <w:b/>
                <w:bCs/>
                <w:color w:val="000000"/>
                <w:sz w:val="26"/>
                <w:szCs w:val="26"/>
              </w:rPr>
              <w:t>Административная п</w:t>
            </w:r>
            <w:r w:rsidRPr="00CA5CF4">
              <w:rPr>
                <w:rFonts w:ascii="Times New Roman" w:hAnsi="Times New Roman"/>
                <w:b/>
                <w:color w:val="000000"/>
                <w:sz w:val="26"/>
                <w:szCs w:val="26"/>
                <w:lang w:val="x-none" w:eastAsia="x-none"/>
              </w:rPr>
              <w:t xml:space="preserve">роцедура </w:t>
            </w:r>
            <w:r w:rsidRPr="00263FDA">
              <w:rPr>
                <w:rFonts w:ascii="Times New Roman" w:hAnsi="Times New Roman"/>
                <w:b/>
                <w:color w:val="000000"/>
                <w:sz w:val="30"/>
                <w:szCs w:val="30"/>
              </w:rPr>
              <w:t xml:space="preserve">8.13.1 </w:t>
            </w:r>
          </w:p>
          <w:p w:rsidR="00CA5CF4" w:rsidRPr="00263FDA" w:rsidRDefault="00CA5CF4" w:rsidP="00796C5A">
            <w:pPr>
              <w:widowControl w:val="0"/>
              <w:spacing w:after="0" w:line="280" w:lineRule="exact"/>
              <w:jc w:val="center"/>
              <w:rPr>
                <w:rFonts w:ascii="Times New Roman" w:hAnsi="Times New Roman"/>
                <w:b/>
                <w:bCs/>
                <w:color w:val="FF0000"/>
                <w:sz w:val="30"/>
                <w:szCs w:val="30"/>
              </w:rPr>
            </w:pPr>
            <w:r w:rsidRPr="00263FDA">
              <w:rPr>
                <w:rFonts w:ascii="Times New Roman" w:hAnsi="Times New Roman"/>
                <w:b/>
                <w:color w:val="000000"/>
                <w:sz w:val="30"/>
                <w:szCs w:val="30"/>
              </w:rPr>
              <w:t>«Получение разрешения на размещение средства наружной рекламы»</w:t>
            </w:r>
          </w:p>
          <w:p w:rsidR="00CA5CF4" w:rsidRPr="003E47AF" w:rsidRDefault="00CA5CF4" w:rsidP="00796C5A">
            <w:pPr>
              <w:widowControl w:val="0"/>
              <w:spacing w:after="0" w:line="280" w:lineRule="exact"/>
              <w:jc w:val="center"/>
              <w:rPr>
                <w:rFonts w:ascii="Times New Roman" w:hAnsi="Times New Roman"/>
                <w:b/>
                <w:bCs/>
                <w:color w:val="FF0000"/>
                <w:sz w:val="26"/>
                <w:szCs w:val="26"/>
              </w:rPr>
            </w:pPr>
          </w:p>
        </w:tc>
      </w:tr>
      <w:tr w:rsidR="00CA5CF4" w:rsidRPr="003E47AF" w:rsidTr="00CA5CF4">
        <w:tc>
          <w:tcPr>
            <w:tcW w:w="2410" w:type="dxa"/>
            <w:tcMar>
              <w:top w:w="0" w:type="dxa"/>
              <w:left w:w="0" w:type="dxa"/>
              <w:bottom w:w="0" w:type="dxa"/>
              <w:right w:w="0" w:type="dxa"/>
            </w:tcMar>
          </w:tcPr>
          <w:p w:rsidR="00CA5CF4" w:rsidRPr="003E47AF" w:rsidRDefault="00CA5CF4" w:rsidP="00796C5A">
            <w:pPr>
              <w:spacing w:after="0" w:line="220" w:lineRule="exact"/>
              <w:rPr>
                <w:rFonts w:ascii="Times New Roman" w:hAnsi="Times New Roman"/>
                <w:b/>
                <w:bCs/>
                <w:color w:val="000000"/>
                <w:sz w:val="26"/>
                <w:szCs w:val="26"/>
              </w:rPr>
            </w:pPr>
            <w:r w:rsidRPr="003E47AF">
              <w:rPr>
                <w:rFonts w:ascii="Times New Roman" w:hAnsi="Times New Roman"/>
                <w:b/>
                <w:bCs/>
                <w:color w:val="000000"/>
                <w:sz w:val="26"/>
                <w:szCs w:val="26"/>
              </w:rPr>
              <w:t>Наименование структурного подразделения, выполняющего административную процедуру</w:t>
            </w:r>
          </w:p>
          <w:p w:rsidR="00CA5CF4" w:rsidRPr="003E47AF" w:rsidRDefault="00CA5CF4" w:rsidP="00796C5A">
            <w:pPr>
              <w:spacing w:after="0" w:line="220" w:lineRule="exact"/>
              <w:rPr>
                <w:rFonts w:ascii="Times New Roman" w:hAnsi="Times New Roman"/>
                <w:b/>
                <w:bCs/>
                <w:color w:val="000000"/>
                <w:sz w:val="26"/>
                <w:szCs w:val="26"/>
              </w:rPr>
            </w:pPr>
          </w:p>
        </w:tc>
        <w:tc>
          <w:tcPr>
            <w:tcW w:w="7513" w:type="dxa"/>
            <w:tcMar>
              <w:top w:w="0" w:type="dxa"/>
              <w:left w:w="0" w:type="dxa"/>
              <w:bottom w:w="0" w:type="dxa"/>
              <w:right w:w="0" w:type="dxa"/>
            </w:tcMar>
            <w:hideMark/>
          </w:tcPr>
          <w:p w:rsidR="00CA5CF4" w:rsidRPr="003E47AF" w:rsidRDefault="00CA5CF4" w:rsidP="00796C5A">
            <w:pPr>
              <w:spacing w:after="0" w:line="280" w:lineRule="exact"/>
              <w:rPr>
                <w:rFonts w:ascii="Times New Roman" w:hAnsi="Times New Roman"/>
                <w:color w:val="000000"/>
                <w:sz w:val="26"/>
                <w:szCs w:val="26"/>
              </w:rPr>
            </w:pPr>
            <w:r w:rsidRPr="003E47AF">
              <w:rPr>
                <w:rFonts w:ascii="Times New Roman" w:hAnsi="Times New Roman"/>
                <w:color w:val="000000"/>
                <w:sz w:val="26"/>
                <w:szCs w:val="26"/>
              </w:rPr>
              <w:t>Служба «одно окно»</w:t>
            </w:r>
          </w:p>
          <w:p w:rsidR="00CA5CF4" w:rsidRPr="003E47AF" w:rsidRDefault="00CA5CF4" w:rsidP="00796C5A">
            <w:pPr>
              <w:spacing w:after="0" w:line="280" w:lineRule="exact"/>
              <w:rPr>
                <w:rFonts w:ascii="Times New Roman" w:hAnsi="Times New Roman"/>
                <w:color w:val="000000"/>
                <w:sz w:val="26"/>
                <w:szCs w:val="26"/>
              </w:rPr>
            </w:pPr>
            <w:r w:rsidRPr="003E47AF">
              <w:rPr>
                <w:rFonts w:ascii="Times New Roman" w:hAnsi="Times New Roman"/>
                <w:color w:val="000000"/>
                <w:sz w:val="26"/>
                <w:szCs w:val="26"/>
              </w:rPr>
              <w:t>Вилейский районный исполнительный комитет</w:t>
            </w:r>
          </w:p>
          <w:p w:rsidR="00CA5CF4" w:rsidRPr="003E47AF" w:rsidRDefault="00CA5CF4" w:rsidP="00796C5A">
            <w:pPr>
              <w:spacing w:after="0" w:line="280" w:lineRule="exact"/>
              <w:rPr>
                <w:rFonts w:ascii="Times New Roman" w:hAnsi="Times New Roman"/>
                <w:color w:val="000000"/>
                <w:sz w:val="26"/>
                <w:szCs w:val="26"/>
              </w:rPr>
            </w:pPr>
            <w:r w:rsidRPr="003E47AF">
              <w:rPr>
                <w:rFonts w:ascii="Times New Roman" w:hAnsi="Times New Roman"/>
                <w:color w:val="000000"/>
                <w:sz w:val="26"/>
                <w:szCs w:val="26"/>
              </w:rPr>
              <w:t>(г. Вилейка, ул. Партизанская, 44)</w:t>
            </w:r>
          </w:p>
        </w:tc>
      </w:tr>
      <w:tr w:rsidR="00CA5CF4" w:rsidRPr="003E47AF" w:rsidTr="00CA5CF4">
        <w:trPr>
          <w:trHeight w:val="1126"/>
        </w:trPr>
        <w:tc>
          <w:tcPr>
            <w:tcW w:w="2410" w:type="dxa"/>
            <w:tcMar>
              <w:top w:w="0" w:type="dxa"/>
              <w:left w:w="0" w:type="dxa"/>
              <w:bottom w:w="0" w:type="dxa"/>
              <w:right w:w="0" w:type="dxa"/>
            </w:tcMar>
            <w:hideMark/>
          </w:tcPr>
          <w:p w:rsidR="00CA5CF4" w:rsidRPr="003E47AF" w:rsidRDefault="00CA5CF4" w:rsidP="00796C5A">
            <w:pPr>
              <w:spacing w:after="0" w:line="220" w:lineRule="exact"/>
              <w:rPr>
                <w:rFonts w:ascii="Times New Roman" w:hAnsi="Times New Roman"/>
                <w:b/>
                <w:bCs/>
                <w:color w:val="000000"/>
                <w:sz w:val="26"/>
                <w:szCs w:val="26"/>
              </w:rPr>
            </w:pPr>
            <w:r w:rsidRPr="003E47AF">
              <w:rPr>
                <w:rFonts w:ascii="Times New Roman" w:hAnsi="Times New Roman"/>
                <w:b/>
                <w:bCs/>
                <w:color w:val="000000"/>
                <w:sz w:val="26"/>
                <w:szCs w:val="26"/>
              </w:rPr>
              <w:t>Документы и (или) сведения, представляемые гражданином для осуществления административной процедуры</w:t>
            </w:r>
          </w:p>
        </w:tc>
        <w:tc>
          <w:tcPr>
            <w:tcW w:w="7513" w:type="dxa"/>
            <w:tcMar>
              <w:top w:w="0" w:type="dxa"/>
              <w:left w:w="0" w:type="dxa"/>
              <w:bottom w:w="0" w:type="dxa"/>
              <w:right w:w="0" w:type="dxa"/>
            </w:tcMar>
          </w:tcPr>
          <w:p w:rsidR="00CA5CF4" w:rsidRPr="002A3E88" w:rsidRDefault="00CA5CF4" w:rsidP="00796C5A">
            <w:pPr>
              <w:widowControl w:val="0"/>
              <w:spacing w:line="280" w:lineRule="exact"/>
              <w:jc w:val="both"/>
              <w:rPr>
                <w:rFonts w:ascii="Times New Roman" w:hAnsi="Times New Roman"/>
                <w:color w:val="000000"/>
                <w:sz w:val="20"/>
                <w:szCs w:val="20"/>
                <w:shd w:val="clear" w:color="auto" w:fill="FFFFFF"/>
              </w:rPr>
            </w:pPr>
            <w:r w:rsidRPr="002A3E88">
              <w:rPr>
                <w:rFonts w:ascii="Times New Roman" w:hAnsi="Times New Roman"/>
                <w:color w:val="000000"/>
                <w:sz w:val="20"/>
                <w:szCs w:val="20"/>
                <w:shd w:val="clear" w:color="auto" w:fill="FFFFFF"/>
              </w:rPr>
              <w:t>заявление на выдачу разрешения на размещение средства наружной рекламы;</w:t>
            </w:r>
          </w:p>
          <w:p w:rsidR="00CA5CF4" w:rsidRPr="002A3E88" w:rsidRDefault="00CA5CF4" w:rsidP="00796C5A">
            <w:pPr>
              <w:widowControl w:val="0"/>
              <w:spacing w:line="280" w:lineRule="exact"/>
              <w:jc w:val="both"/>
              <w:rPr>
                <w:rFonts w:ascii="Times New Roman" w:hAnsi="Times New Roman"/>
                <w:color w:val="000000"/>
                <w:sz w:val="20"/>
                <w:szCs w:val="20"/>
                <w:shd w:val="clear" w:color="auto" w:fill="FFFFFF"/>
              </w:rPr>
            </w:pPr>
            <w:r w:rsidRPr="002A3E88">
              <w:rPr>
                <w:rFonts w:ascii="Times New Roman" w:hAnsi="Times New Roman"/>
                <w:color w:val="000000"/>
                <w:sz w:val="20"/>
                <w:szCs w:val="20"/>
                <w:shd w:val="clear" w:color="auto" w:fill="FFFFFF"/>
              </w:rPr>
              <w:t>эскиз средства наружной рекламы в увязке с конкретной архитектурно-планировочной ситуацией по месту его размещения;</w:t>
            </w:r>
          </w:p>
          <w:p w:rsidR="00CA5CF4" w:rsidRPr="002A3E88" w:rsidRDefault="00CA5CF4" w:rsidP="00796C5A">
            <w:pPr>
              <w:widowControl w:val="0"/>
              <w:spacing w:line="280" w:lineRule="exact"/>
              <w:jc w:val="both"/>
              <w:rPr>
                <w:rFonts w:ascii="Times New Roman" w:hAnsi="Times New Roman"/>
                <w:color w:val="000000"/>
                <w:sz w:val="20"/>
                <w:szCs w:val="20"/>
                <w:shd w:val="clear" w:color="auto" w:fill="FFFFFF"/>
              </w:rPr>
            </w:pPr>
            <w:r w:rsidRPr="002A3E88">
              <w:rPr>
                <w:rFonts w:ascii="Times New Roman" w:hAnsi="Times New Roman"/>
                <w:color w:val="000000"/>
                <w:sz w:val="20"/>
                <w:szCs w:val="20"/>
                <w:shd w:val="clear" w:color="auto" w:fill="FFFFFF"/>
              </w:rPr>
              <w:t>три фотографии места размещения средства наружной рекламы (существующее положение);</w:t>
            </w:r>
          </w:p>
          <w:p w:rsidR="00CA5CF4" w:rsidRPr="002A3E88" w:rsidRDefault="00CA5CF4" w:rsidP="00796C5A">
            <w:pPr>
              <w:widowControl w:val="0"/>
              <w:spacing w:line="280" w:lineRule="exact"/>
              <w:jc w:val="both"/>
              <w:rPr>
                <w:rFonts w:ascii="Times New Roman" w:hAnsi="Times New Roman"/>
                <w:color w:val="000000"/>
                <w:sz w:val="20"/>
                <w:szCs w:val="20"/>
                <w:shd w:val="clear" w:color="auto" w:fill="FFFFFF"/>
              </w:rPr>
            </w:pPr>
            <w:r w:rsidRPr="002A3E88">
              <w:rPr>
                <w:rFonts w:ascii="Times New Roman" w:hAnsi="Times New Roman"/>
                <w:color w:val="000000"/>
                <w:sz w:val="20"/>
                <w:szCs w:val="20"/>
                <w:shd w:val="clear" w:color="auto" w:fill="FFFFFF"/>
              </w:rPr>
              <w:t>копия письма или иного документа о согласии собственника места размещения средства наружной рекламы (далее – собственник) или лица, указанного в абзацах </w:t>
            </w:r>
            <w:hyperlink r:id="rId7" w:anchor="a322" w:tooltip="+" w:history="1">
              <w:r w:rsidRPr="002A3E88">
                <w:rPr>
                  <w:rStyle w:val="a4"/>
                  <w:rFonts w:ascii="Times New Roman" w:hAnsi="Times New Roman"/>
                  <w:shd w:val="clear" w:color="auto" w:fill="FFFFFF"/>
                </w:rPr>
                <w:t>втором – пятом</w:t>
              </w:r>
            </w:hyperlink>
            <w:r w:rsidRPr="002A3E88">
              <w:rPr>
                <w:rFonts w:ascii="Times New Roman" w:hAnsi="Times New Roman"/>
                <w:color w:val="000000"/>
                <w:sz w:val="20"/>
                <w:szCs w:val="20"/>
                <w:shd w:val="clear" w:color="auto" w:fill="FFFFFF"/>
              </w:rPr>
              <w:t> части четвертой пункта 1 статьи 13 Закона Республики «О рекламе» (далее – уполномоченное лицо), на размещение средства наружной рекламы, выданных в течение последних шести месяцев, – если место размещения средства наружной рекламы находится в республиканской или частной собственности и проведение торгов не требуется, за исключением случая, когда рекламораспространитель является собственником или уполномоченным лицом;</w:t>
            </w:r>
            <w:r w:rsidRPr="002A3E88">
              <w:rPr>
                <w:rFonts w:ascii="Times New Roman" w:hAnsi="Times New Roman"/>
                <w:color w:val="000000"/>
                <w:sz w:val="20"/>
                <w:szCs w:val="20"/>
              </w:rPr>
              <w:br/>
            </w:r>
            <w:r w:rsidRPr="002A3E88">
              <w:rPr>
                <w:rFonts w:ascii="Times New Roman" w:hAnsi="Times New Roman"/>
                <w:color w:val="000000"/>
                <w:sz w:val="20"/>
                <w:szCs w:val="20"/>
              </w:rPr>
              <w:br/>
            </w:r>
            <w:r w:rsidRPr="002A3E88">
              <w:rPr>
                <w:rFonts w:ascii="Times New Roman" w:hAnsi="Times New Roman"/>
                <w:color w:val="000000"/>
                <w:sz w:val="20"/>
                <w:szCs w:val="20"/>
                <w:shd w:val="clear" w:color="auto" w:fill="FFFFFF"/>
              </w:rPr>
              <w:t>копия документа, подтверждающего согласие собственников на размещение средства наружной рекламы в количестве, необходимом в соответствии с законодательством для принятия таких решений (копия протокола общего собрания, копия протокола об итогах письменного опроса или копия иного предусмотренного законодательством документа), – при размещении средства наружной рекламы на имуществе, находящемся в общей собственности нескольких лиц, в случае, когда проведение торгов не требуется</w:t>
            </w:r>
          </w:p>
          <w:p w:rsidR="00CA5CF4" w:rsidRPr="002A3E88" w:rsidRDefault="00CA5CF4" w:rsidP="00796C5A">
            <w:pPr>
              <w:widowControl w:val="0"/>
              <w:spacing w:line="280" w:lineRule="exact"/>
              <w:jc w:val="both"/>
              <w:rPr>
                <w:rFonts w:ascii="Times New Roman" w:hAnsi="Times New Roman"/>
                <w:color w:val="000000"/>
                <w:sz w:val="20"/>
                <w:szCs w:val="20"/>
                <w:shd w:val="clear" w:color="auto" w:fill="FFFFFF"/>
              </w:rPr>
            </w:pPr>
            <w:r w:rsidRPr="002A3E88">
              <w:rPr>
                <w:rFonts w:ascii="Times New Roman" w:hAnsi="Times New Roman"/>
                <w:color w:val="000000"/>
                <w:sz w:val="20"/>
                <w:szCs w:val="20"/>
                <w:shd w:val="clear" w:color="auto" w:fill="FFFFFF"/>
              </w:rPr>
              <w:t>документ, подтверждающий внесение платы (за исключением внесения платы посредством использования платежной системы в едином расчетном и информационном пространстве), кроме случаев бесплатного осуществления административной процедуры</w:t>
            </w:r>
          </w:p>
          <w:p w:rsidR="00CA5CF4" w:rsidRPr="002A3E88" w:rsidRDefault="00CA5CF4" w:rsidP="00796C5A">
            <w:pPr>
              <w:widowControl w:val="0"/>
              <w:spacing w:line="280" w:lineRule="exact"/>
              <w:jc w:val="both"/>
              <w:rPr>
                <w:rFonts w:ascii="Times New Roman" w:hAnsi="Times New Roman"/>
                <w:color w:val="000000"/>
                <w:sz w:val="20"/>
                <w:szCs w:val="20"/>
                <w:shd w:val="clear" w:color="auto" w:fill="FFFFFF"/>
              </w:rPr>
            </w:pPr>
            <w:r w:rsidRPr="002A3E88">
              <w:rPr>
                <w:rFonts w:ascii="Times New Roman" w:hAnsi="Times New Roman"/>
                <w:color w:val="000000"/>
                <w:sz w:val="20"/>
                <w:szCs w:val="20"/>
                <w:shd w:val="clear" w:color="auto" w:fill="FFFFFF"/>
              </w:rPr>
              <w:t>эскиз средства наружной рекламы в увязке с конкретной архитектурно-планировочной ситуацией по месту его размещения</w:t>
            </w:r>
          </w:p>
          <w:p w:rsidR="00CA5CF4" w:rsidRPr="002A3E88" w:rsidRDefault="00CA5CF4" w:rsidP="00796C5A">
            <w:pPr>
              <w:widowControl w:val="0"/>
              <w:spacing w:line="280" w:lineRule="exact"/>
              <w:jc w:val="both"/>
              <w:rPr>
                <w:rFonts w:ascii="Times New Roman" w:hAnsi="Times New Roman"/>
                <w:color w:val="000000"/>
                <w:sz w:val="20"/>
                <w:szCs w:val="20"/>
                <w:shd w:val="clear" w:color="auto" w:fill="FFFFFF"/>
              </w:rPr>
            </w:pPr>
            <w:r w:rsidRPr="002A3E88">
              <w:rPr>
                <w:rFonts w:ascii="Times New Roman" w:hAnsi="Times New Roman"/>
                <w:color w:val="000000"/>
                <w:sz w:val="20"/>
                <w:szCs w:val="20"/>
                <w:shd w:val="clear" w:color="auto" w:fill="FFFFFF"/>
              </w:rPr>
              <w:t>письмо или иной документ о согласии собственника или уполномоченного им лица на размещение средства наружной рекламы, за исключением случаев, когда собственник и рекламораспространитель являются одним лицом</w:t>
            </w:r>
          </w:p>
          <w:p w:rsidR="00CA5CF4" w:rsidRPr="002A3E88" w:rsidRDefault="00CA5CF4" w:rsidP="00796C5A">
            <w:pPr>
              <w:widowControl w:val="0"/>
              <w:spacing w:line="280" w:lineRule="exact"/>
              <w:jc w:val="both"/>
              <w:rPr>
                <w:rFonts w:ascii="Times New Roman" w:hAnsi="Times New Roman"/>
                <w:i/>
                <w:sz w:val="26"/>
                <w:szCs w:val="26"/>
              </w:rPr>
            </w:pPr>
            <w:r w:rsidRPr="002A3E88">
              <w:rPr>
                <w:rFonts w:ascii="Times New Roman" w:hAnsi="Times New Roman"/>
                <w:color w:val="000000"/>
                <w:sz w:val="20"/>
                <w:szCs w:val="20"/>
                <w:shd w:val="clear" w:color="auto" w:fill="FFFFFF"/>
              </w:rPr>
              <w:t xml:space="preserve">проект привязки средства наружной рекламы к участку местности, если размещение средства наружной рекламы требует разрытия грунта или выполнения иных земляных </w:t>
            </w:r>
            <w:r w:rsidRPr="002A3E88">
              <w:rPr>
                <w:rFonts w:ascii="Times New Roman" w:hAnsi="Times New Roman"/>
                <w:color w:val="000000"/>
                <w:sz w:val="20"/>
                <w:szCs w:val="20"/>
                <w:shd w:val="clear" w:color="auto" w:fill="FFFFFF"/>
              </w:rPr>
              <w:lastRenderedPageBreak/>
              <w:t>работ</w:t>
            </w:r>
          </w:p>
        </w:tc>
      </w:tr>
      <w:tr w:rsidR="00CA5CF4" w:rsidRPr="003E47AF" w:rsidTr="00CA5CF4">
        <w:tc>
          <w:tcPr>
            <w:tcW w:w="2410" w:type="dxa"/>
            <w:tcMar>
              <w:top w:w="0" w:type="dxa"/>
              <w:left w:w="0" w:type="dxa"/>
              <w:bottom w:w="0" w:type="dxa"/>
              <w:right w:w="0" w:type="dxa"/>
            </w:tcMar>
          </w:tcPr>
          <w:p w:rsidR="00CA5CF4" w:rsidRPr="003E47AF" w:rsidRDefault="00CA5CF4" w:rsidP="00796C5A">
            <w:pPr>
              <w:spacing w:after="0" w:line="220" w:lineRule="exact"/>
              <w:rPr>
                <w:rFonts w:ascii="Times New Roman" w:hAnsi="Times New Roman"/>
                <w:b/>
                <w:bCs/>
                <w:color w:val="000000"/>
                <w:sz w:val="26"/>
                <w:szCs w:val="26"/>
              </w:rPr>
            </w:pPr>
            <w:r w:rsidRPr="003E47AF">
              <w:rPr>
                <w:rFonts w:ascii="Times New Roman" w:hAnsi="Times New Roman"/>
                <w:b/>
                <w:bCs/>
                <w:color w:val="000000"/>
                <w:sz w:val="26"/>
                <w:szCs w:val="26"/>
              </w:rPr>
              <w:lastRenderedPageBreak/>
              <w:t>Документы и (или) сведения, запрашиваемые государственным органом</w:t>
            </w:r>
            <w:r w:rsidRPr="003E47AF">
              <w:rPr>
                <w:rFonts w:ascii="Times New Roman" w:hAnsi="Times New Roman"/>
                <w:b/>
                <w:bCs/>
                <w:color w:val="000000"/>
                <w:sz w:val="26"/>
                <w:szCs w:val="26"/>
                <w:vertAlign w:val="superscript"/>
              </w:rPr>
              <w:endnoteReference w:customMarkFollows="1" w:id="1"/>
              <w:sym w:font="Symbol" w:char="F02A"/>
            </w:r>
          </w:p>
          <w:p w:rsidR="00CA5CF4" w:rsidRPr="003E47AF" w:rsidRDefault="00CA5CF4" w:rsidP="00796C5A">
            <w:pPr>
              <w:spacing w:after="0" w:line="220" w:lineRule="exact"/>
              <w:rPr>
                <w:rFonts w:ascii="Times New Roman" w:hAnsi="Times New Roman"/>
                <w:b/>
                <w:bCs/>
                <w:color w:val="000000"/>
                <w:sz w:val="26"/>
                <w:szCs w:val="26"/>
              </w:rPr>
            </w:pPr>
          </w:p>
        </w:tc>
        <w:tc>
          <w:tcPr>
            <w:tcW w:w="7513" w:type="dxa"/>
            <w:tcMar>
              <w:top w:w="0" w:type="dxa"/>
              <w:left w:w="0" w:type="dxa"/>
              <w:bottom w:w="0" w:type="dxa"/>
              <w:right w:w="0" w:type="dxa"/>
            </w:tcMar>
          </w:tcPr>
          <w:p w:rsidR="00CA5CF4" w:rsidRPr="002A3E88" w:rsidRDefault="00CA5CF4" w:rsidP="00796C5A">
            <w:pPr>
              <w:spacing w:before="120" w:after="0" w:line="240" w:lineRule="auto"/>
              <w:jc w:val="both"/>
              <w:rPr>
                <w:rFonts w:ascii="Times New Roman" w:hAnsi="Times New Roman"/>
                <w:color w:val="000000"/>
                <w:sz w:val="20"/>
                <w:szCs w:val="20"/>
                <w:shd w:val="clear" w:color="auto" w:fill="FFFFFF"/>
              </w:rPr>
            </w:pPr>
            <w:r w:rsidRPr="002A3E88">
              <w:rPr>
                <w:rFonts w:ascii="Times New Roman" w:hAnsi="Times New Roman"/>
                <w:color w:val="000000"/>
                <w:sz w:val="20"/>
                <w:szCs w:val="20"/>
                <w:shd w:val="clear" w:color="auto" w:fill="FFFFFF"/>
              </w:rPr>
              <w:t>копия протокола о результатах торгов на право размещения средства наружной рекламы на недвижимом имуществе (далее – торги), если разрешение на размещение средства наружной рекламы выдается по результатам проведения торгов</w:t>
            </w:r>
          </w:p>
          <w:p w:rsidR="00CA5CF4" w:rsidRPr="002A3E88" w:rsidRDefault="00CA5CF4" w:rsidP="00796C5A">
            <w:pPr>
              <w:spacing w:before="120" w:after="0" w:line="240" w:lineRule="auto"/>
              <w:jc w:val="both"/>
              <w:rPr>
                <w:rFonts w:ascii="Times New Roman" w:hAnsi="Times New Roman"/>
                <w:color w:val="000000"/>
                <w:sz w:val="20"/>
                <w:szCs w:val="20"/>
                <w:shd w:val="clear" w:color="auto" w:fill="FFFFFF"/>
              </w:rPr>
            </w:pPr>
            <w:r w:rsidRPr="002A3E88">
              <w:rPr>
                <w:rFonts w:ascii="Times New Roman" w:hAnsi="Times New Roman"/>
                <w:color w:val="000000"/>
                <w:sz w:val="20"/>
                <w:szCs w:val="20"/>
                <w:shd w:val="clear" w:color="auto" w:fill="FFFFFF"/>
              </w:rPr>
              <w:t>письмо или иной документ о согласии уполномоченного лица на размещение средства наружной рекламы, если место размещения средства наружной рекламы находится в коммунальной собственности</w:t>
            </w:r>
          </w:p>
          <w:p w:rsidR="00CA5CF4" w:rsidRPr="002A3E88" w:rsidRDefault="00CA5CF4" w:rsidP="00796C5A">
            <w:pPr>
              <w:spacing w:before="120" w:after="0" w:line="240" w:lineRule="auto"/>
              <w:jc w:val="both"/>
              <w:rPr>
                <w:rFonts w:ascii="Times New Roman" w:hAnsi="Times New Roman"/>
                <w:color w:val="000000"/>
                <w:sz w:val="20"/>
                <w:szCs w:val="20"/>
                <w:shd w:val="clear" w:color="auto" w:fill="FFFFFF"/>
              </w:rPr>
            </w:pPr>
            <w:hyperlink r:id="rId8" w:anchor="a147" w:tooltip="+" w:history="1">
              <w:r w:rsidRPr="002A3E88">
                <w:rPr>
                  <w:rStyle w:val="a4"/>
                  <w:rFonts w:ascii="Times New Roman" w:hAnsi="Times New Roman"/>
                  <w:shd w:val="clear" w:color="auto" w:fill="FFFFFF"/>
                </w:rPr>
                <w:t>паспорт</w:t>
              </w:r>
            </w:hyperlink>
            <w:r w:rsidRPr="002A3E88">
              <w:rPr>
                <w:rFonts w:ascii="Times New Roman" w:hAnsi="Times New Roman"/>
                <w:color w:val="000000"/>
                <w:sz w:val="20"/>
                <w:szCs w:val="20"/>
                <w:shd w:val="clear" w:color="auto" w:fill="FFFFFF"/>
              </w:rPr>
              <w:t> средства наружной рекламы, содержащий согласование подразделения Государственной автомобильной инспекции Министерства внутренних дел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CA5CF4" w:rsidRPr="002A3E88" w:rsidRDefault="00CA5CF4" w:rsidP="00796C5A">
            <w:pPr>
              <w:spacing w:before="120" w:after="0" w:line="240" w:lineRule="auto"/>
              <w:jc w:val="both"/>
              <w:rPr>
                <w:rFonts w:ascii="Times New Roman" w:hAnsi="Times New Roman"/>
                <w:color w:val="000000"/>
                <w:sz w:val="20"/>
                <w:szCs w:val="20"/>
                <w:shd w:val="clear" w:color="auto" w:fill="FFFFFF"/>
              </w:rPr>
            </w:pPr>
            <w:hyperlink r:id="rId9" w:anchor="a147" w:tooltip="+" w:history="1">
              <w:r w:rsidRPr="002A3E88">
                <w:rPr>
                  <w:rStyle w:val="a4"/>
                  <w:rFonts w:ascii="Times New Roman" w:hAnsi="Times New Roman"/>
                  <w:shd w:val="clear" w:color="auto" w:fill="FFFFFF"/>
                </w:rPr>
                <w:t>паспорт</w:t>
              </w:r>
            </w:hyperlink>
            <w:r w:rsidRPr="002A3E88">
              <w:rPr>
                <w:rFonts w:ascii="Times New Roman" w:hAnsi="Times New Roman"/>
                <w:color w:val="000000"/>
                <w:sz w:val="20"/>
                <w:szCs w:val="20"/>
                <w:shd w:val="clear" w:color="auto" w:fill="FFFFFF"/>
              </w:rPr>
              <w:t> средства наружной рекламы, содержащий согласование владельца автомобильной дороги размещения средства наружной рекламы, либо письменный отказ в таком согласовании в случае размещения средства наружной рекламы в пределах придорожной полосы (контролируемой зоны) автомобильной дороги</w:t>
            </w:r>
          </w:p>
          <w:p w:rsidR="00CA5CF4" w:rsidRPr="002A3E88" w:rsidRDefault="00CA5CF4" w:rsidP="00796C5A">
            <w:pPr>
              <w:spacing w:before="120" w:after="0" w:line="240" w:lineRule="auto"/>
              <w:jc w:val="both"/>
              <w:rPr>
                <w:rFonts w:ascii="Times New Roman" w:hAnsi="Times New Roman"/>
                <w:color w:val="000000"/>
                <w:sz w:val="20"/>
                <w:szCs w:val="20"/>
                <w:shd w:val="clear" w:color="auto" w:fill="FFFFFF"/>
              </w:rPr>
            </w:pPr>
            <w:r w:rsidRPr="002A3E88">
              <w:rPr>
                <w:rFonts w:ascii="Times New Roman" w:hAnsi="Times New Roman"/>
                <w:color w:val="000000"/>
                <w:sz w:val="20"/>
                <w:szCs w:val="20"/>
                <w:shd w:val="clear" w:color="auto" w:fill="FFFFFF"/>
              </w:rPr>
              <w:t>эскиз средства наружной рекламы, согласованный Министерством культуры, либо письменный отказ в таком согласовании в случае размещения средства наружной рекламы на недвижимых материальных историко-культурных ценностях категории «0», «1», «2», без категории 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w:t>
            </w:r>
          </w:p>
          <w:p w:rsidR="00CA5CF4" w:rsidRPr="002A3E88" w:rsidRDefault="00CA5CF4" w:rsidP="00796C5A">
            <w:pPr>
              <w:spacing w:before="120" w:after="0" w:line="240" w:lineRule="auto"/>
              <w:jc w:val="both"/>
              <w:rPr>
                <w:rFonts w:ascii="Times New Roman" w:hAnsi="Times New Roman"/>
                <w:color w:val="000000"/>
                <w:sz w:val="26"/>
                <w:szCs w:val="26"/>
              </w:rPr>
            </w:pPr>
            <w:r w:rsidRPr="002A3E88">
              <w:rPr>
                <w:rFonts w:ascii="Times New Roman" w:hAnsi="Times New Roman"/>
                <w:color w:val="000000"/>
                <w:sz w:val="20"/>
                <w:szCs w:val="20"/>
                <w:shd w:val="clear" w:color="auto" w:fill="FFFFFF"/>
              </w:rPr>
              <w:t>согласование проекта привязки средства наружной рекламы к участку местности</w:t>
            </w:r>
          </w:p>
        </w:tc>
      </w:tr>
      <w:tr w:rsidR="00CA5CF4" w:rsidRPr="003E47AF" w:rsidTr="00CA5CF4">
        <w:tc>
          <w:tcPr>
            <w:tcW w:w="2410" w:type="dxa"/>
            <w:tcMar>
              <w:top w:w="0" w:type="dxa"/>
              <w:left w:w="0" w:type="dxa"/>
              <w:bottom w:w="0" w:type="dxa"/>
              <w:right w:w="0" w:type="dxa"/>
            </w:tcMar>
          </w:tcPr>
          <w:p w:rsidR="00CA5CF4" w:rsidRPr="003E47AF" w:rsidRDefault="00CA5CF4" w:rsidP="00796C5A">
            <w:pPr>
              <w:spacing w:after="0" w:line="220" w:lineRule="exact"/>
              <w:rPr>
                <w:rFonts w:ascii="Times New Roman" w:hAnsi="Times New Roman"/>
                <w:b/>
                <w:bCs/>
                <w:color w:val="000000"/>
                <w:sz w:val="26"/>
                <w:szCs w:val="26"/>
              </w:rPr>
            </w:pPr>
            <w:r w:rsidRPr="003E47AF">
              <w:rPr>
                <w:rFonts w:ascii="Times New Roman" w:hAnsi="Times New Roman"/>
                <w:b/>
                <w:bCs/>
                <w:color w:val="000000"/>
                <w:sz w:val="26"/>
                <w:szCs w:val="26"/>
              </w:rPr>
              <w:t>Размер платы, взимаемой при осуществлении административной процедуры</w:t>
            </w:r>
          </w:p>
          <w:p w:rsidR="00CA5CF4" w:rsidRPr="003E47AF" w:rsidRDefault="00CA5CF4" w:rsidP="00796C5A">
            <w:pPr>
              <w:spacing w:after="0" w:line="220" w:lineRule="exact"/>
              <w:rPr>
                <w:rFonts w:ascii="Times New Roman" w:hAnsi="Times New Roman"/>
                <w:b/>
                <w:bCs/>
                <w:color w:val="000000"/>
                <w:sz w:val="26"/>
                <w:szCs w:val="26"/>
              </w:rPr>
            </w:pPr>
          </w:p>
        </w:tc>
        <w:tc>
          <w:tcPr>
            <w:tcW w:w="7513" w:type="dxa"/>
            <w:tcMar>
              <w:top w:w="0" w:type="dxa"/>
              <w:left w:w="0" w:type="dxa"/>
              <w:bottom w:w="0" w:type="dxa"/>
              <w:right w:w="0" w:type="dxa"/>
            </w:tcMar>
          </w:tcPr>
          <w:p w:rsidR="00CA5CF4" w:rsidRDefault="00CA5CF4" w:rsidP="00796C5A">
            <w:pPr>
              <w:pStyle w:val="a3"/>
              <w:shd w:val="clear" w:color="auto" w:fill="E8F6FF"/>
              <w:spacing w:before="0" w:beforeAutospacing="0" w:after="0" w:afterAutospacing="0"/>
              <w:jc w:val="both"/>
              <w:rPr>
                <w:color w:val="4B4E50"/>
                <w:sz w:val="26"/>
                <w:szCs w:val="26"/>
              </w:rPr>
            </w:pPr>
            <w:r>
              <w:rPr>
                <w:color w:val="4B4E50"/>
                <w:sz w:val="26"/>
                <w:szCs w:val="26"/>
              </w:rPr>
              <w:t xml:space="preserve">информация об оплате – </w:t>
            </w:r>
            <w:hyperlink r:id="rId10" w:history="1">
              <w:r w:rsidRPr="00221649">
                <w:rPr>
                  <w:rStyle w:val="a4"/>
                  <w:sz w:val="26"/>
                  <w:szCs w:val="26"/>
                </w:rPr>
                <w:t>https://vileyka.gov.by/odno-okno/poryadok-podachi-zayavlenij</w:t>
              </w:r>
            </w:hyperlink>
          </w:p>
          <w:p w:rsidR="00CA5CF4" w:rsidRPr="00263FDA" w:rsidRDefault="00CA5CF4" w:rsidP="00796C5A">
            <w:pPr>
              <w:pStyle w:val="a3"/>
              <w:shd w:val="clear" w:color="auto" w:fill="E8F6FF"/>
              <w:spacing w:before="0" w:beforeAutospacing="0" w:after="0" w:afterAutospacing="0"/>
              <w:jc w:val="both"/>
              <w:rPr>
                <w:color w:val="4B4E50"/>
                <w:sz w:val="26"/>
                <w:szCs w:val="26"/>
              </w:rPr>
            </w:pPr>
            <w:r w:rsidRPr="00263FDA">
              <w:rPr>
                <w:color w:val="4B4E50"/>
                <w:sz w:val="26"/>
                <w:szCs w:val="26"/>
              </w:rPr>
              <w:t>бесплатно – при выдаче разрешения на размещение средства наружной рекламы:</w:t>
            </w:r>
          </w:p>
          <w:p w:rsidR="00CA5CF4" w:rsidRPr="00263FDA" w:rsidRDefault="00CA5CF4" w:rsidP="00796C5A">
            <w:pPr>
              <w:pStyle w:val="a3"/>
              <w:shd w:val="clear" w:color="auto" w:fill="E8F6FF"/>
              <w:spacing w:before="0" w:beforeAutospacing="0" w:after="0" w:afterAutospacing="0"/>
              <w:jc w:val="both"/>
              <w:rPr>
                <w:color w:val="4B4E50"/>
                <w:sz w:val="26"/>
                <w:szCs w:val="26"/>
              </w:rPr>
            </w:pPr>
            <w:r w:rsidRPr="00263FDA">
              <w:rPr>
                <w:color w:val="4B4E50"/>
                <w:sz w:val="26"/>
                <w:szCs w:val="26"/>
              </w:rPr>
              <w:t>специально предназначенного и используемого для размещения (распространения) социальной рекламы в пределах придорожной полосы (контролируемой зоны) автомобильной дороги, красных линий улиц, дорог или площадей населенных пунктов</w:t>
            </w:r>
          </w:p>
          <w:p w:rsidR="00CA5CF4" w:rsidRPr="00263FDA" w:rsidRDefault="00CA5CF4" w:rsidP="00796C5A">
            <w:pPr>
              <w:pStyle w:val="a3"/>
              <w:shd w:val="clear" w:color="auto" w:fill="E8F6FF"/>
              <w:spacing w:before="0" w:beforeAutospacing="0" w:after="0" w:afterAutospacing="0"/>
              <w:jc w:val="both"/>
              <w:rPr>
                <w:color w:val="4B4E50"/>
                <w:sz w:val="26"/>
                <w:szCs w:val="26"/>
              </w:rPr>
            </w:pPr>
            <w:r w:rsidRPr="00263FDA">
              <w:rPr>
                <w:color w:val="4B4E50"/>
                <w:sz w:val="26"/>
                <w:szCs w:val="26"/>
              </w:rPr>
              <w:t>на новом или прежнем месте в связи с прекращением действия ранее выданного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w:t>
            </w:r>
          </w:p>
          <w:p w:rsidR="00CA5CF4" w:rsidRPr="003E47AF" w:rsidRDefault="00CA5CF4" w:rsidP="00796C5A">
            <w:pPr>
              <w:spacing w:after="0" w:line="280" w:lineRule="exact"/>
              <w:rPr>
                <w:rFonts w:ascii="Times New Roman" w:hAnsi="Times New Roman"/>
                <w:color w:val="000000"/>
                <w:sz w:val="26"/>
                <w:szCs w:val="26"/>
              </w:rPr>
            </w:pPr>
          </w:p>
        </w:tc>
      </w:tr>
      <w:tr w:rsidR="00CA5CF4" w:rsidRPr="003E47AF" w:rsidTr="00CA5CF4">
        <w:trPr>
          <w:trHeight w:val="1129"/>
        </w:trPr>
        <w:tc>
          <w:tcPr>
            <w:tcW w:w="2410" w:type="dxa"/>
            <w:tcMar>
              <w:top w:w="0" w:type="dxa"/>
              <w:left w:w="0" w:type="dxa"/>
              <w:bottom w:w="0" w:type="dxa"/>
              <w:right w:w="0" w:type="dxa"/>
            </w:tcMar>
            <w:hideMark/>
          </w:tcPr>
          <w:p w:rsidR="00CA5CF4" w:rsidRPr="003E47AF" w:rsidRDefault="00CA5CF4" w:rsidP="00796C5A">
            <w:pPr>
              <w:spacing w:after="0" w:line="220" w:lineRule="exact"/>
              <w:rPr>
                <w:rFonts w:ascii="Times New Roman" w:hAnsi="Times New Roman"/>
                <w:b/>
                <w:bCs/>
                <w:color w:val="000000"/>
                <w:sz w:val="26"/>
                <w:szCs w:val="26"/>
              </w:rPr>
            </w:pPr>
            <w:r w:rsidRPr="003E47AF">
              <w:rPr>
                <w:rFonts w:ascii="Times New Roman" w:hAnsi="Times New Roman"/>
                <w:b/>
                <w:bCs/>
                <w:color w:val="000000"/>
                <w:sz w:val="26"/>
                <w:szCs w:val="26"/>
              </w:rPr>
              <w:lastRenderedPageBreak/>
              <w:t>Максимальный срок осуществления административной процедуры</w:t>
            </w:r>
          </w:p>
        </w:tc>
        <w:tc>
          <w:tcPr>
            <w:tcW w:w="7513" w:type="dxa"/>
            <w:tcMar>
              <w:top w:w="0" w:type="dxa"/>
              <w:left w:w="0" w:type="dxa"/>
              <w:bottom w:w="0" w:type="dxa"/>
              <w:right w:w="0" w:type="dxa"/>
            </w:tcMar>
          </w:tcPr>
          <w:p w:rsidR="00CA5CF4" w:rsidRPr="00263FDA" w:rsidRDefault="00CA5CF4" w:rsidP="00796C5A">
            <w:pPr>
              <w:pStyle w:val="a3"/>
              <w:shd w:val="clear" w:color="auto" w:fill="E8F6FF"/>
              <w:spacing w:before="0" w:beforeAutospacing="0" w:after="0" w:afterAutospacing="0"/>
              <w:rPr>
                <w:color w:val="4B4E50"/>
                <w:sz w:val="26"/>
                <w:szCs w:val="26"/>
              </w:rPr>
            </w:pPr>
            <w:r w:rsidRPr="00263FDA">
              <w:rPr>
                <w:color w:val="4B4E50"/>
                <w:sz w:val="26"/>
                <w:szCs w:val="26"/>
              </w:rPr>
              <w:t>15 рабочих дней, а в случае, если требуется разработка проекта привязки средства наружной рекламы к участку местности и (или) подключение к инженерным коммуникациям, – 30 рабочих дней</w:t>
            </w:r>
          </w:p>
          <w:p w:rsidR="00CA5CF4" w:rsidRPr="00263FDA" w:rsidRDefault="00CA5CF4" w:rsidP="00796C5A">
            <w:pPr>
              <w:pStyle w:val="a3"/>
              <w:shd w:val="clear" w:color="auto" w:fill="E8F6FF"/>
              <w:spacing w:before="0" w:beforeAutospacing="0" w:after="0" w:afterAutospacing="0"/>
              <w:rPr>
                <w:color w:val="4B4E50"/>
                <w:sz w:val="26"/>
                <w:szCs w:val="26"/>
              </w:rPr>
            </w:pPr>
            <w:r w:rsidRPr="00263FDA">
              <w:rPr>
                <w:color w:val="4B4E50"/>
                <w:sz w:val="26"/>
                <w:szCs w:val="26"/>
              </w:rPr>
              <w:t>при размещении средства наружной рекламы на территории Китайско-Белорусского индустриального парка «Великий камень» (за исключением территорий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и дачных кооперативов) – 10 рабочих дней</w:t>
            </w:r>
          </w:p>
          <w:p w:rsidR="00CA5CF4" w:rsidRPr="003E47AF" w:rsidRDefault="00CA5CF4" w:rsidP="00796C5A">
            <w:pPr>
              <w:widowControl w:val="0"/>
              <w:spacing w:after="0" w:line="280" w:lineRule="exact"/>
              <w:jc w:val="both"/>
              <w:rPr>
                <w:rFonts w:ascii="Times New Roman" w:hAnsi="Times New Roman"/>
                <w:color w:val="000000"/>
                <w:sz w:val="30"/>
                <w:szCs w:val="30"/>
              </w:rPr>
            </w:pPr>
          </w:p>
        </w:tc>
      </w:tr>
      <w:tr w:rsidR="00CA5CF4" w:rsidRPr="003E47AF" w:rsidTr="00CA5CF4">
        <w:tc>
          <w:tcPr>
            <w:tcW w:w="2410" w:type="dxa"/>
            <w:tcMar>
              <w:top w:w="0" w:type="dxa"/>
              <w:left w:w="0" w:type="dxa"/>
              <w:bottom w:w="0" w:type="dxa"/>
              <w:right w:w="0" w:type="dxa"/>
            </w:tcMar>
          </w:tcPr>
          <w:p w:rsidR="00CA5CF4" w:rsidRPr="003E47AF" w:rsidRDefault="00CA5CF4" w:rsidP="00796C5A">
            <w:pPr>
              <w:spacing w:after="0" w:line="220" w:lineRule="exact"/>
              <w:rPr>
                <w:rFonts w:ascii="Times New Roman" w:hAnsi="Times New Roman"/>
                <w:b/>
                <w:bCs/>
                <w:color w:val="000000"/>
                <w:sz w:val="26"/>
                <w:szCs w:val="26"/>
              </w:rPr>
            </w:pPr>
            <w:r w:rsidRPr="003E47AF">
              <w:rPr>
                <w:rFonts w:ascii="Times New Roman" w:hAnsi="Times New Roman"/>
                <w:b/>
                <w:bCs/>
                <w:color w:val="000000"/>
                <w:sz w:val="26"/>
                <w:szCs w:val="26"/>
              </w:rPr>
              <w:t>Срок действия справки, другого документа (решения), выдаваемых (принимаемого) при осуществлении административной процедуры</w:t>
            </w:r>
          </w:p>
          <w:p w:rsidR="00CA5CF4" w:rsidRPr="003E47AF" w:rsidRDefault="00CA5CF4" w:rsidP="00796C5A">
            <w:pPr>
              <w:spacing w:after="0" w:line="220" w:lineRule="exact"/>
              <w:rPr>
                <w:rFonts w:ascii="Times New Roman" w:hAnsi="Times New Roman"/>
                <w:b/>
                <w:bCs/>
                <w:color w:val="000000"/>
                <w:sz w:val="26"/>
                <w:szCs w:val="26"/>
              </w:rPr>
            </w:pPr>
          </w:p>
        </w:tc>
        <w:tc>
          <w:tcPr>
            <w:tcW w:w="7513" w:type="dxa"/>
            <w:tcMar>
              <w:top w:w="0" w:type="dxa"/>
              <w:left w:w="0" w:type="dxa"/>
              <w:bottom w:w="0" w:type="dxa"/>
              <w:right w:w="0" w:type="dxa"/>
            </w:tcMar>
          </w:tcPr>
          <w:p w:rsidR="00CA5CF4" w:rsidRPr="002A3E88" w:rsidRDefault="00CA5CF4" w:rsidP="00796C5A">
            <w:pPr>
              <w:spacing w:after="0" w:line="280" w:lineRule="exact"/>
              <w:rPr>
                <w:rFonts w:ascii="Times New Roman" w:hAnsi="Times New Roman"/>
                <w:color w:val="000000"/>
                <w:sz w:val="26"/>
                <w:szCs w:val="26"/>
              </w:rPr>
            </w:pPr>
            <w:r w:rsidRPr="002A3E88">
              <w:rPr>
                <w:rFonts w:ascii="Times New Roman" w:hAnsi="Times New Roman"/>
                <w:color w:val="000000"/>
                <w:sz w:val="20"/>
                <w:szCs w:val="20"/>
                <w:shd w:val="clear" w:color="auto" w:fill="FFFFFF"/>
              </w:rPr>
              <w:t>не менее 7 лет на мультимедийные рекламные конструкции, электронные табло;</w:t>
            </w:r>
            <w:r w:rsidRPr="002A3E88">
              <w:rPr>
                <w:rFonts w:ascii="Times New Roman" w:hAnsi="Times New Roman"/>
                <w:color w:val="000000"/>
                <w:sz w:val="20"/>
                <w:szCs w:val="20"/>
              </w:rPr>
              <w:br/>
            </w:r>
            <w:r w:rsidRPr="002A3E88">
              <w:rPr>
                <w:rFonts w:ascii="Times New Roman" w:hAnsi="Times New Roman"/>
                <w:color w:val="000000"/>
                <w:sz w:val="20"/>
                <w:szCs w:val="20"/>
              </w:rPr>
              <w:br/>
            </w:r>
            <w:r w:rsidRPr="002A3E88">
              <w:rPr>
                <w:rFonts w:ascii="Times New Roman" w:hAnsi="Times New Roman"/>
                <w:color w:val="000000"/>
                <w:sz w:val="20"/>
                <w:szCs w:val="20"/>
                <w:shd w:val="clear" w:color="auto" w:fill="FFFFFF"/>
              </w:rPr>
              <w:t>не менее 5 лет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r w:rsidRPr="002A3E88">
              <w:rPr>
                <w:rFonts w:ascii="Times New Roman" w:hAnsi="Times New Roman"/>
                <w:color w:val="000000"/>
                <w:sz w:val="20"/>
                <w:szCs w:val="20"/>
              </w:rPr>
              <w:br/>
            </w:r>
            <w:r w:rsidRPr="002A3E88">
              <w:rPr>
                <w:rFonts w:ascii="Times New Roman" w:hAnsi="Times New Roman"/>
                <w:color w:val="000000"/>
                <w:sz w:val="20"/>
                <w:szCs w:val="20"/>
              </w:rPr>
              <w:br/>
            </w:r>
            <w:r w:rsidRPr="002A3E88">
              <w:rPr>
                <w:rFonts w:ascii="Times New Roman" w:hAnsi="Times New Roman"/>
                <w:color w:val="000000"/>
                <w:sz w:val="20"/>
                <w:szCs w:val="20"/>
                <w:shd w:val="clear" w:color="auto" w:fill="FFFFFF"/>
              </w:rPr>
              <w:t>не менее 3 лет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 а также вывески и вывески рекламного характера, размещаемые на недвижимых материальных историко-культурных ценностях, их территориях и в зонах их охраны;</w:t>
            </w:r>
            <w:r w:rsidRPr="002A3E88">
              <w:rPr>
                <w:rFonts w:ascii="Times New Roman" w:hAnsi="Times New Roman"/>
                <w:color w:val="000000"/>
                <w:sz w:val="20"/>
                <w:szCs w:val="20"/>
              </w:rPr>
              <w:br/>
            </w:r>
            <w:r w:rsidRPr="002A3E88">
              <w:rPr>
                <w:rFonts w:ascii="Times New Roman" w:hAnsi="Times New Roman"/>
                <w:color w:val="000000"/>
                <w:sz w:val="20"/>
                <w:szCs w:val="20"/>
              </w:rPr>
              <w:br/>
            </w:r>
            <w:r w:rsidRPr="002A3E88">
              <w:rPr>
                <w:rFonts w:ascii="Times New Roman" w:hAnsi="Times New Roman"/>
                <w:color w:val="000000"/>
                <w:sz w:val="20"/>
                <w:szCs w:val="20"/>
                <w:shd w:val="clear" w:color="auto" w:fill="FFFFFF"/>
              </w:rPr>
              <w:t>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 – 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r w:rsidRPr="002A3E88">
              <w:rPr>
                <w:rFonts w:ascii="Times New Roman" w:hAnsi="Times New Roman"/>
                <w:color w:val="000000"/>
                <w:sz w:val="20"/>
                <w:szCs w:val="20"/>
              </w:rPr>
              <w:br/>
            </w:r>
            <w:r w:rsidRPr="002A3E88">
              <w:rPr>
                <w:rFonts w:ascii="Times New Roman" w:hAnsi="Times New Roman"/>
                <w:color w:val="000000"/>
                <w:sz w:val="20"/>
                <w:szCs w:val="20"/>
              </w:rPr>
              <w:br/>
            </w:r>
            <w:r w:rsidRPr="002A3E88">
              <w:rPr>
                <w:rFonts w:ascii="Times New Roman" w:hAnsi="Times New Roman"/>
                <w:color w:val="000000"/>
                <w:sz w:val="20"/>
                <w:szCs w:val="20"/>
                <w:shd w:val="clear" w:color="auto" w:fill="FFFFFF"/>
              </w:rPr>
              <w:t>не менее 1 года, если иное не определено договором на размещение средства наружной рекламы, на иные средства наружной рекламы</w:t>
            </w:r>
          </w:p>
        </w:tc>
      </w:tr>
    </w:tbl>
    <w:p w:rsidR="00210264" w:rsidRDefault="00210264" w:rsidP="00210264"/>
    <w:p w:rsidR="00CA5CF4" w:rsidRPr="00210264" w:rsidRDefault="00210264" w:rsidP="00210264">
      <w:pPr>
        <w:tabs>
          <w:tab w:val="left" w:pos="2310"/>
        </w:tabs>
      </w:pPr>
      <w:r>
        <w:tab/>
      </w:r>
    </w:p>
    <w:sectPr w:rsidR="00CA5CF4" w:rsidRPr="00210264">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B40" w:rsidRDefault="00EC4B40" w:rsidP="003033CB">
      <w:pPr>
        <w:spacing w:after="0" w:line="240" w:lineRule="auto"/>
      </w:pPr>
      <w:r>
        <w:separator/>
      </w:r>
    </w:p>
  </w:endnote>
  <w:endnote w:type="continuationSeparator" w:id="0">
    <w:p w:rsidR="00EC4B40" w:rsidRDefault="00EC4B40" w:rsidP="003033CB">
      <w:pPr>
        <w:spacing w:after="0" w:line="240" w:lineRule="auto"/>
      </w:pPr>
      <w:r>
        <w:continuationSeparator/>
      </w:r>
    </w:p>
  </w:endnote>
  <w:endnote w:id="1">
    <w:p w:rsidR="00000000" w:rsidRDefault="00EC4B40" w:rsidP="00CA5CF4">
      <w:pPr>
        <w:pStyle w:val="a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B40" w:rsidRDefault="00EC4B40" w:rsidP="003033CB">
      <w:pPr>
        <w:spacing w:after="0" w:line="240" w:lineRule="auto"/>
      </w:pPr>
      <w:r>
        <w:separator/>
      </w:r>
    </w:p>
  </w:footnote>
  <w:footnote w:type="continuationSeparator" w:id="0">
    <w:p w:rsidR="00EC4B40" w:rsidRDefault="00EC4B40" w:rsidP="00303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A2125"/>
    <w:multiLevelType w:val="hybridMultilevel"/>
    <w:tmpl w:val="198EA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46"/>
    <w:rsid w:val="00044E36"/>
    <w:rsid w:val="000B2730"/>
    <w:rsid w:val="00125D15"/>
    <w:rsid w:val="0014017B"/>
    <w:rsid w:val="001A21CE"/>
    <w:rsid w:val="001B2719"/>
    <w:rsid w:val="001C4A2F"/>
    <w:rsid w:val="00210264"/>
    <w:rsid w:val="00214778"/>
    <w:rsid w:val="00221649"/>
    <w:rsid w:val="00233145"/>
    <w:rsid w:val="00241032"/>
    <w:rsid w:val="00263FDA"/>
    <w:rsid w:val="002A3E88"/>
    <w:rsid w:val="003033CB"/>
    <w:rsid w:val="00310846"/>
    <w:rsid w:val="003B17A8"/>
    <w:rsid w:val="003B75FA"/>
    <w:rsid w:val="003C422A"/>
    <w:rsid w:val="003C4D14"/>
    <w:rsid w:val="003E47AF"/>
    <w:rsid w:val="003F67E9"/>
    <w:rsid w:val="00410B91"/>
    <w:rsid w:val="00463337"/>
    <w:rsid w:val="005477A1"/>
    <w:rsid w:val="00555E21"/>
    <w:rsid w:val="00566C3E"/>
    <w:rsid w:val="005E0E49"/>
    <w:rsid w:val="006077D8"/>
    <w:rsid w:val="00614A7E"/>
    <w:rsid w:val="00676C25"/>
    <w:rsid w:val="006E179E"/>
    <w:rsid w:val="00747DE4"/>
    <w:rsid w:val="007728B1"/>
    <w:rsid w:val="0077499E"/>
    <w:rsid w:val="00796C5A"/>
    <w:rsid w:val="007A0BED"/>
    <w:rsid w:val="00806BA6"/>
    <w:rsid w:val="008476B7"/>
    <w:rsid w:val="008762DD"/>
    <w:rsid w:val="00884F3D"/>
    <w:rsid w:val="008A44E3"/>
    <w:rsid w:val="008B2004"/>
    <w:rsid w:val="00913BCF"/>
    <w:rsid w:val="009B7E87"/>
    <w:rsid w:val="00A06329"/>
    <w:rsid w:val="00AA3973"/>
    <w:rsid w:val="00AD5800"/>
    <w:rsid w:val="00AD7A99"/>
    <w:rsid w:val="00B23BCC"/>
    <w:rsid w:val="00BB628F"/>
    <w:rsid w:val="00C3486F"/>
    <w:rsid w:val="00CA5047"/>
    <w:rsid w:val="00CA5CF4"/>
    <w:rsid w:val="00D10EA0"/>
    <w:rsid w:val="00D247FF"/>
    <w:rsid w:val="00D57A0A"/>
    <w:rsid w:val="00D65B0C"/>
    <w:rsid w:val="00DB08BE"/>
    <w:rsid w:val="00DB6C71"/>
    <w:rsid w:val="00DF4F62"/>
    <w:rsid w:val="00E02AA7"/>
    <w:rsid w:val="00EB5343"/>
    <w:rsid w:val="00EC4B40"/>
    <w:rsid w:val="00ED3768"/>
    <w:rsid w:val="00F07188"/>
    <w:rsid w:val="00F61429"/>
    <w:rsid w:val="00F67D77"/>
    <w:rsid w:val="00F83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FD53B9-8A02-44C0-8820-2FECDD7F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BCC"/>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rsid w:val="00B23BCC"/>
    <w:rPr>
      <w:rFonts w:cs="Times New Roman"/>
      <w:color w:val="0000FF" w:themeColor="hyperlink"/>
      <w:u w:val="single"/>
    </w:rPr>
  </w:style>
  <w:style w:type="paragraph" w:styleId="a5">
    <w:name w:val="Body Text Indent"/>
    <w:basedOn w:val="a"/>
    <w:link w:val="a6"/>
    <w:uiPriority w:val="99"/>
    <w:rsid w:val="00D57A0A"/>
    <w:pPr>
      <w:spacing w:after="0" w:line="360" w:lineRule="auto"/>
      <w:ind w:firstLine="567"/>
      <w:jc w:val="both"/>
    </w:pPr>
    <w:rPr>
      <w:rFonts w:ascii="Times New Roman" w:hAnsi="Times New Roman"/>
      <w:sz w:val="24"/>
      <w:szCs w:val="20"/>
    </w:rPr>
  </w:style>
  <w:style w:type="character" w:customStyle="1" w:styleId="a6">
    <w:name w:val="Основной текст с отступом Знак"/>
    <w:basedOn w:val="a0"/>
    <w:link w:val="a5"/>
    <w:uiPriority w:val="99"/>
    <w:locked/>
    <w:rsid w:val="00D57A0A"/>
    <w:rPr>
      <w:rFonts w:ascii="Times New Roman" w:hAnsi="Times New Roman" w:cs="Times New Roman"/>
      <w:sz w:val="20"/>
      <w:szCs w:val="20"/>
    </w:rPr>
  </w:style>
  <w:style w:type="paragraph" w:customStyle="1" w:styleId="table10">
    <w:name w:val="table10"/>
    <w:basedOn w:val="a"/>
    <w:rsid w:val="003C4D14"/>
    <w:pPr>
      <w:spacing w:after="0" w:line="240" w:lineRule="auto"/>
    </w:pPr>
    <w:rPr>
      <w:rFonts w:ascii="Times New Roman" w:hAnsi="Times New Roman"/>
      <w:sz w:val="20"/>
      <w:szCs w:val="20"/>
    </w:rPr>
  </w:style>
  <w:style w:type="paragraph" w:styleId="a7">
    <w:name w:val="endnote text"/>
    <w:basedOn w:val="a"/>
    <w:link w:val="a8"/>
    <w:uiPriority w:val="99"/>
    <w:unhideWhenUsed/>
    <w:rsid w:val="005477A1"/>
    <w:pPr>
      <w:spacing w:after="0" w:line="240" w:lineRule="auto"/>
    </w:pPr>
    <w:rPr>
      <w:rFonts w:ascii="Times New Roman" w:hAnsi="Times New Roman"/>
      <w:color w:val="000000"/>
      <w:sz w:val="20"/>
      <w:szCs w:val="20"/>
    </w:rPr>
  </w:style>
  <w:style w:type="character" w:customStyle="1" w:styleId="a8">
    <w:name w:val="Текст концевой сноски Знак"/>
    <w:basedOn w:val="a0"/>
    <w:link w:val="a7"/>
    <w:uiPriority w:val="99"/>
    <w:locked/>
    <w:rsid w:val="005477A1"/>
    <w:rPr>
      <w:rFonts w:ascii="Times New Roman" w:hAnsi="Times New Roman" w:cs="Times New Roman"/>
      <w:color w:val="000000"/>
      <w:sz w:val="20"/>
      <w:szCs w:val="20"/>
    </w:rPr>
  </w:style>
  <w:style w:type="character" w:styleId="a9">
    <w:name w:val="Strong"/>
    <w:basedOn w:val="a0"/>
    <w:uiPriority w:val="22"/>
    <w:qFormat/>
    <w:rsid w:val="001B2719"/>
    <w:rPr>
      <w:rFonts w:cs="Times New Roman"/>
      <w:b/>
    </w:rPr>
  </w:style>
  <w:style w:type="paragraph" w:styleId="aa">
    <w:name w:val="Balloon Text"/>
    <w:basedOn w:val="a"/>
    <w:link w:val="ab"/>
    <w:uiPriority w:val="99"/>
    <w:rsid w:val="008B200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locked/>
    <w:rsid w:val="008B2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369997">
      <w:marLeft w:val="0"/>
      <w:marRight w:val="0"/>
      <w:marTop w:val="0"/>
      <w:marBottom w:val="0"/>
      <w:divBdr>
        <w:top w:val="none" w:sz="0" w:space="0" w:color="auto"/>
        <w:left w:val="none" w:sz="0" w:space="0" w:color="auto"/>
        <w:bottom w:val="none" w:sz="0" w:space="0" w:color="auto"/>
        <w:right w:val="none" w:sz="0" w:space="0" w:color="auto"/>
      </w:divBdr>
    </w:div>
    <w:div w:id="1656369998">
      <w:marLeft w:val="0"/>
      <w:marRight w:val="0"/>
      <w:marTop w:val="0"/>
      <w:marBottom w:val="0"/>
      <w:divBdr>
        <w:top w:val="none" w:sz="0" w:space="0" w:color="auto"/>
        <w:left w:val="none" w:sz="0" w:space="0" w:color="auto"/>
        <w:bottom w:val="none" w:sz="0" w:space="0" w:color="auto"/>
        <w:right w:val="none" w:sz="0" w:space="0" w:color="auto"/>
      </w:divBdr>
    </w:div>
    <w:div w:id="1656369999">
      <w:marLeft w:val="0"/>
      <w:marRight w:val="0"/>
      <w:marTop w:val="0"/>
      <w:marBottom w:val="0"/>
      <w:divBdr>
        <w:top w:val="none" w:sz="0" w:space="0" w:color="auto"/>
        <w:left w:val="none" w:sz="0" w:space="0" w:color="auto"/>
        <w:bottom w:val="none" w:sz="0" w:space="0" w:color="auto"/>
        <w:right w:val="none" w:sz="0" w:space="0" w:color="auto"/>
      </w:divBdr>
    </w:div>
    <w:div w:id="1656370000">
      <w:marLeft w:val="0"/>
      <w:marRight w:val="0"/>
      <w:marTop w:val="0"/>
      <w:marBottom w:val="0"/>
      <w:divBdr>
        <w:top w:val="none" w:sz="0" w:space="0" w:color="auto"/>
        <w:left w:val="none" w:sz="0" w:space="0" w:color="auto"/>
        <w:bottom w:val="none" w:sz="0" w:space="0" w:color="auto"/>
        <w:right w:val="none" w:sz="0" w:space="0" w:color="auto"/>
      </w:divBdr>
    </w:div>
    <w:div w:id="1656370001">
      <w:marLeft w:val="0"/>
      <w:marRight w:val="0"/>
      <w:marTop w:val="0"/>
      <w:marBottom w:val="0"/>
      <w:divBdr>
        <w:top w:val="none" w:sz="0" w:space="0" w:color="auto"/>
        <w:left w:val="none" w:sz="0" w:space="0" w:color="auto"/>
        <w:bottom w:val="none" w:sz="0" w:space="0" w:color="auto"/>
        <w:right w:val="none" w:sz="0" w:space="0" w:color="auto"/>
      </w:divBdr>
    </w:div>
    <w:div w:id="1656370002">
      <w:marLeft w:val="0"/>
      <w:marRight w:val="0"/>
      <w:marTop w:val="0"/>
      <w:marBottom w:val="0"/>
      <w:divBdr>
        <w:top w:val="none" w:sz="0" w:space="0" w:color="auto"/>
        <w:left w:val="none" w:sz="0" w:space="0" w:color="auto"/>
        <w:bottom w:val="none" w:sz="0" w:space="0" w:color="auto"/>
        <w:right w:val="none" w:sz="0" w:space="0" w:color="auto"/>
      </w:divBdr>
    </w:div>
    <w:div w:id="1656370003">
      <w:marLeft w:val="0"/>
      <w:marRight w:val="0"/>
      <w:marTop w:val="0"/>
      <w:marBottom w:val="0"/>
      <w:divBdr>
        <w:top w:val="none" w:sz="0" w:space="0" w:color="auto"/>
        <w:left w:val="none" w:sz="0" w:space="0" w:color="auto"/>
        <w:bottom w:val="none" w:sz="0" w:space="0" w:color="auto"/>
        <w:right w:val="none" w:sz="0" w:space="0" w:color="auto"/>
      </w:divBdr>
    </w:div>
    <w:div w:id="1656370004">
      <w:marLeft w:val="0"/>
      <w:marRight w:val="0"/>
      <w:marTop w:val="0"/>
      <w:marBottom w:val="0"/>
      <w:divBdr>
        <w:top w:val="none" w:sz="0" w:space="0" w:color="auto"/>
        <w:left w:val="none" w:sz="0" w:space="0" w:color="auto"/>
        <w:bottom w:val="none" w:sz="0" w:space="0" w:color="auto"/>
        <w:right w:val="none" w:sz="0" w:space="0" w:color="auto"/>
      </w:divBdr>
    </w:div>
    <w:div w:id="1656370005">
      <w:marLeft w:val="0"/>
      <w:marRight w:val="0"/>
      <w:marTop w:val="0"/>
      <w:marBottom w:val="0"/>
      <w:divBdr>
        <w:top w:val="none" w:sz="0" w:space="0" w:color="auto"/>
        <w:left w:val="none" w:sz="0" w:space="0" w:color="auto"/>
        <w:bottom w:val="none" w:sz="0" w:space="0" w:color="auto"/>
        <w:right w:val="none" w:sz="0" w:space="0" w:color="auto"/>
      </w:divBdr>
    </w:div>
    <w:div w:id="1656370006">
      <w:marLeft w:val="0"/>
      <w:marRight w:val="0"/>
      <w:marTop w:val="0"/>
      <w:marBottom w:val="0"/>
      <w:divBdr>
        <w:top w:val="none" w:sz="0" w:space="0" w:color="auto"/>
        <w:left w:val="none" w:sz="0" w:space="0" w:color="auto"/>
        <w:bottom w:val="none" w:sz="0" w:space="0" w:color="auto"/>
        <w:right w:val="none" w:sz="0" w:space="0" w:color="auto"/>
      </w:divBdr>
    </w:div>
    <w:div w:id="1656370007">
      <w:marLeft w:val="0"/>
      <w:marRight w:val="0"/>
      <w:marTop w:val="0"/>
      <w:marBottom w:val="0"/>
      <w:divBdr>
        <w:top w:val="none" w:sz="0" w:space="0" w:color="auto"/>
        <w:left w:val="none" w:sz="0" w:space="0" w:color="auto"/>
        <w:bottom w:val="none" w:sz="0" w:space="0" w:color="auto"/>
        <w:right w:val="none" w:sz="0" w:space="0" w:color="auto"/>
      </w:divBdr>
    </w:div>
    <w:div w:id="16563700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tx.dll?d=460672&amp;a=147" TargetMode="External"/><Relationship Id="rId3" Type="http://schemas.openxmlformats.org/officeDocument/2006/relationships/settings" Target="settings.xml"/><Relationship Id="rId7" Type="http://schemas.openxmlformats.org/officeDocument/2006/relationships/hyperlink" Target="https://bii.by/tx.dll?d=98153&amp;a=3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ileyka.gov.by/odno-okno/poryadok-podachi-zayavlenij" TargetMode="External"/><Relationship Id="rId4" Type="http://schemas.openxmlformats.org/officeDocument/2006/relationships/webSettings" Target="webSettings.xml"/><Relationship Id="rId9" Type="http://schemas.openxmlformats.org/officeDocument/2006/relationships/hyperlink" Target="https://bii.by/tx.dll?d=460672&amp;a=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специалист</dc:creator>
  <cp:keywords/>
  <dc:description/>
  <cp:lastModifiedBy>mike</cp:lastModifiedBy>
  <cp:revision>2</cp:revision>
  <cp:lastPrinted>2024-10-10T07:59:00Z</cp:lastPrinted>
  <dcterms:created xsi:type="dcterms:W3CDTF">2024-10-16T11:01:00Z</dcterms:created>
  <dcterms:modified xsi:type="dcterms:W3CDTF">2024-10-16T11:01:00Z</dcterms:modified>
</cp:coreProperties>
</file>