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160" w:type="dxa"/>
        <w:jc w:val="left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8392"/>
      </w:tblGrid>
      <w:tr>
        <w:trPr/>
        <w:tc>
          <w:tcPr>
            <w:tcW w:w="11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>Административная процедура №1.1.23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/>
            </w:pPr>
            <w:r>
              <w:rPr>
                <w:b/>
                <w:bCs/>
                <w:sz w:val="30"/>
                <w:szCs w:val="30"/>
              </w:rPr>
              <w:t xml:space="preserve">«О включении в состав организации застройщиков, формируемой из числа граждан, состоящих на учете нуждающихся в улучшении жилищных условий»  </w:t>
            </w:r>
          </w:p>
          <w:p>
            <w:pPr>
              <w:pStyle w:val="Normal"/>
              <w:tabs>
                <w:tab w:val="clear" w:pos="708"/>
              </w:tabs>
              <w:bidi w:val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>
          <w:trHeight w:val="2010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Служба «одно окно»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Вилейский районный исполнительный комитет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>
        <w:trPr>
          <w:trHeight w:val="1126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4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заявление</w:t>
            </w:r>
            <w:r>
              <w:rPr/>
              <w:br/>
              <w:br/>
            </w:r>
            <w:r>
              <w:rPr>
                <w:sz w:val="26"/>
                <w:szCs w:val="26"/>
              </w:rPr>
              <w:t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</w:t>
            </w:r>
          </w:p>
          <w:p>
            <w:pPr>
              <w:pStyle w:val="Table101"/>
              <w:tabs>
                <w:tab w:val="clear" w:pos="708"/>
              </w:tabs>
              <w:bidi w:val="0"/>
              <w:spacing w:lineRule="exact" w:line="240" w:before="0" w:after="100"/>
              <w:ind w:left="0" w:right="0" w:hanging="0"/>
              <w:jc w:val="both"/>
              <w:rPr/>
            </w:pPr>
            <w:r>
              <w:rPr>
                <w:sz w:val="26"/>
                <w:szCs w:val="26"/>
              </w:rPr>
      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 – в случае наличия такого права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Документы и (или) сведения, запрашиваемые государственным органом</w:t>
            </w:r>
            <w:r>
              <w:rPr>
                <w:rFonts w:eastAsia="Symbol" w:cs="Symbol" w:ascii="Symbol" w:hAnsi="Symbol"/>
                <w:b/>
                <w:bCs/>
                <w:sz w:val="26"/>
                <w:szCs w:val="26"/>
              </w:rPr>
              <w:t>*</w:t>
            </w:r>
            <w:r>
              <w:rPr>
                <w:rStyle w:val="EndnoteAnchor"/>
                <w:b/>
                <w:bCs/>
                <w:sz w:val="26"/>
                <w:szCs w:val="26"/>
                <w:vertAlign w:val="superscript"/>
              </w:rPr>
              <w:endnoteReference w:id="2"/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40" w:before="0" w:after="240"/>
              <w:ind w:left="57" w:right="45" w:hanging="0"/>
              <w:jc w:val="both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справка о состоянии на учете нуждающихся в улучшении жилищных условий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(при подаче заявления в г.Минске либо населенных пунктах Минского района – о находящихся в собственности гражданина и проживающих совместно с ним членов его семьи жилых помещениях в г.Минске и населенных пунктах Минского района)**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  <w:p>
            <w:pPr>
              <w:pStyle w:val="Normal"/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бесплатно</w:t>
            </w:r>
          </w:p>
        </w:tc>
      </w:tr>
      <w:tr>
        <w:trPr>
          <w:trHeight w:val="1425" w:hRule="atLeast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Table101"/>
              <w:tabs>
                <w:tab w:val="clear" w:pos="708"/>
              </w:tabs>
              <w:bidi w:val="0"/>
              <w:spacing w:lineRule="exact" w:line="280" w:before="0" w:after="0"/>
              <w:ind w:left="0" w:right="0" w:hanging="0"/>
              <w:rPr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 месяц </w:t>
            </w:r>
          </w:p>
        </w:tc>
      </w:tr>
      <w:tr>
        <w:trPr/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/>
            </w:pPr>
            <w:r>
              <w:rPr>
                <w:b/>
                <w:bCs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exact" w:line="220"/>
              <w:ind w:left="0" w:right="0" w:hanging="0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tabs>
                <w:tab w:val="clear" w:pos="708"/>
              </w:tabs>
              <w:bidi w:val="0"/>
              <w:spacing w:lineRule="exact" w:line="280"/>
              <w:ind w:left="0" w:right="0" w:hanging="0"/>
              <w:rPr/>
            </w:pPr>
            <w:r>
              <w:rPr>
                <w:sz w:val="26"/>
                <w:szCs w:val="26"/>
              </w:rPr>
              <w:t>бессрочно</w:t>
            </w:r>
          </w:p>
        </w:tc>
      </w:tr>
    </w:tbl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>
          <w:rFonts w:ascii="Times New Roman" w:hAnsi="Times New Roman"/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bidi w:val="0"/>
        <w:ind w:left="0" w:right="0" w:hanging="0"/>
        <w:rPr/>
      </w:pPr>
      <w:r>
        <w:rPr/>
      </w:r>
    </w:p>
    <w:sectPr>
      <w:endnotePr>
        <w:numFmt w:val="lowerRoman"/>
      </w:endnotePr>
      <w:type w:val="nextPage"/>
      <w:pgSz w:w="11906" w:h="16838"/>
      <w:pgMar w:left="720" w:right="386" w:header="0" w:top="360" w:footer="0" w:bottom="360" w:gutter="0"/>
      <w:pgNumType w:fmt="decimal"/>
      <w:formProt w:val="false"/>
      <w:textDirection w:val="lrTb"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bidi w:val="0"/>
        <w:jc w:val="left"/>
        <w:rPr/>
      </w:pPr>
      <w:r>
        <w:rPr>
          <w:rStyle w:val="EndnoteCharacters"/>
        </w:rPr>
        <w:endnoteRef/>
      </w: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endnotePr>
    <w:numFmt w:val="lowerRoman"/>
    <w:endnote w:id="0"/>
    <w:endnote w:id="1"/>
  </w:end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SC Regular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jc w:val="left"/>
      <w:textAlignment w:val="auto"/>
    </w:pPr>
    <w:rPr>
      <w:rFonts w:ascii="Times New Roman" w:hAnsi="Times New Roman" w:eastAsia="Symbol" w:cs="Times New Roman"/>
      <w:color w:val="000000"/>
      <w:kern w:val="2"/>
      <w:sz w:val="22"/>
      <w:szCs w:val="22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rFonts w:ascii="Times New Roman" w:hAnsi="Times New Roman" w:eastAsia="MS Mincho"/>
      <w:sz w:val="28"/>
      <w:szCs w:val="28"/>
      <w:lang w:eastAsia="ja-JP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13">
    <w:name w:val="Текст концевой сноски Знак"/>
    <w:basedOn w:val="DefaultParagraphFont"/>
    <w:qFormat/>
    <w:rPr>
      <w:sz w:val="20"/>
      <w:szCs w:val="20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3">
    <w:name w:val="Основной текст 3 Знак"/>
    <w:basedOn w:val="DefaultParagraphFont"/>
    <w:qFormat/>
    <w:rPr>
      <w:sz w:val="16"/>
      <w:szCs w:val="16"/>
    </w:rPr>
  </w:style>
  <w:style w:type="character" w:styleId="2">
    <w:name w:val="Основной текст 2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Основной текст с отступом Знак"/>
    <w:basedOn w:val="DefaultParagraphFont"/>
    <w:qFormat/>
    <w:rPr/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Table10">
    <w:name w:val="table10 Знак"/>
    <w:basedOn w:val="DefaultParagraphFont"/>
    <w:qFormat/>
    <w:rPr/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Table101">
    <w:name w:val="table10"/>
    <w:basedOn w:val="Normal"/>
    <w:qFormat/>
    <w:pPr>
      <w:spacing w:before="0" w:after="100"/>
    </w:pPr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BodyText3">
    <w:name w:val="Body Text 3"/>
    <w:basedOn w:val="Normal"/>
    <w:qFormat/>
    <w:pPr/>
    <w:rPr>
      <w:sz w:val="30"/>
      <w:szCs w:val="30"/>
    </w:rPr>
  </w:style>
  <w:style w:type="paragraph" w:styleId="BodyText2">
    <w:name w:val="Body Text 2"/>
    <w:basedOn w:val="Normal"/>
    <w:qFormat/>
    <w:pPr>
      <w:jc w:val="both"/>
    </w:pPr>
    <w:rPr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30"/>
      <w:szCs w:val="30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7">
    <w:name w:val="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11">
    <w:name w:val="Знак1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  <w:style w:type="paragraph" w:styleId="Style18">
    <w:name w:val="Знак Знак Знак"/>
    <w:basedOn w:val="Normal"/>
    <w:autoRedefine/>
    <w:qFormat/>
    <w:pPr/>
    <w:rPr>
      <w:rFonts w:ascii="Arial" w:hAnsi="Arial" w:cs="Arial"/>
      <w:sz w:val="20"/>
      <w:szCs w:val="20"/>
      <w:lang w:val="en-ZA" w:eastAsia="en-Z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253</Words>
  <Characters>1696</Characters>
  <CharactersWithSpaces>1446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2015-07-07T09:15:00Z</dcterms:created>
  <dc:creator>1</dc:creator>
  <dc:description/>
  <dc:language>en-US</dc:language>
  <cp:lastModifiedBy/>
  <cp:lastPrinted>2020-09-24T12:11:00Z</cp:lastPrinted>
  <dcterms:modified xsi:type="dcterms:W3CDTF">2020-09-24T12:11:00Z</dcterms:modified>
  <cp:revision>12</cp:revision>
  <dc:subject/>
  <dc:title>Административная процедура №1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Одно Окно</vt:lpwstr>
  </property>
</Properties>
</file>