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8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8211"/>
      </w:tblGrid>
      <w:tr>
        <w:trPr/>
        <w:tc>
          <w:tcPr>
            <w:tcW w:w="10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30"/>
                <w:szCs w:val="30"/>
              </w:rPr>
              <w:t>Административная процедура №1.1.21</w:t>
            </w:r>
            <w:r>
              <w:rPr>
                <w:b/>
                <w:bCs/>
                <w:sz w:val="30"/>
                <w:szCs w:val="30"/>
                <w:vertAlign w:val="superscript"/>
              </w:rPr>
              <w:t>1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 xml:space="preserve">«Принятие решения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 согласовании (разрешении) самовольных переустройства и (или) перепланировки жилого помещения, нежилого помещения в жилом доме</w:t>
            </w:r>
            <w:r>
              <w:rPr>
                <w:b/>
                <w:bCs/>
                <w:sz w:val="30"/>
                <w:szCs w:val="30"/>
              </w:rPr>
              <w:t>»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1126" w:hRule="atLeast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34"/>
              <w:ind w:left="0" w:right="0" w:hanging="0"/>
              <w:rPr/>
            </w:pPr>
            <w:r>
              <w:rPr>
                <w:sz w:val="26"/>
                <w:szCs w:val="26"/>
              </w:rPr>
              <w:t>заявление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паспорт или иной документ, удостоверяющий личность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 – удостоверенное нотариально их письменное согласие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технический паспорт и документ, подтверждающий право собственности на помещение, – для собственника помещения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письменное согласие организации застройщиков в жилых домах этой организации – для члена организации застройщиков, не являющегося собственником помещения</w:t>
            </w:r>
          </w:p>
          <w:p>
            <w:pPr>
              <w:pStyle w:val="NormalWeb"/>
              <w:tabs>
                <w:tab w:val="clear" w:pos="708"/>
              </w:tabs>
              <w:bidi w:val="0"/>
              <w:spacing w:lineRule="exact" w:line="280" w:beforeAutospacing="1" w:afterAutospacing="1"/>
              <w:ind w:left="0" w:right="0" w:hanging="0"/>
              <w:rPr/>
            </w:pPr>
            <w:r>
              <w:rPr>
                <w:sz w:val="26"/>
                <w:szCs w:val="26"/>
              </w:rPr>
              <w:t>письменное согласие залогодержателя жилого помещения, нежилого помещения в жилом доме на согласование (разрешение) самовольного 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</w:t>
            </w:r>
          </w:p>
          <w:p>
            <w:pPr>
              <w:pStyle w:val="NormalWeb"/>
              <w:tabs>
                <w:tab w:val="clear" w:pos="708"/>
              </w:tabs>
              <w:bidi w:val="0"/>
              <w:spacing w:lineRule="exact" w:line="280" w:beforeAutospacing="1" w:afterAutospacing="1"/>
              <w:ind w:left="0" w:right="0" w:hanging="0"/>
              <w:rPr/>
            </w:pPr>
            <w:r>
              <w:rPr>
                <w:sz w:val="26"/>
                <w:szCs w:val="26"/>
              </w:rPr>
              <w:t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мусороудаления, газоудаления, устройству гидро-, паро-, тепло- и звукоизоляции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 w:before="0" w:after="12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справка о месте жительства и составе семьи или копия лицевого счёта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912" w:hRule="atLeast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80" w:before="0" w:after="0"/>
              <w:ind w:left="0" w:right="0" w:hanging="0"/>
              <w:rPr/>
            </w:pPr>
            <w:r>
              <w:rPr>
                <w:sz w:val="26"/>
                <w:szCs w:val="26"/>
              </w:rPr>
              <w:t xml:space="preserve">1 </w:t>
            </w:r>
          </w:p>
        </w:tc>
      </w:tr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бессрочно</w:t>
            </w:r>
          </w:p>
        </w:tc>
      </w:tr>
    </w:tbl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Основной текст с отступом Знак"/>
    <w:basedOn w:val="DefaultParagraphFont"/>
    <w:qFormat/>
    <w:rPr/>
  </w:style>
  <w:style w:type="character" w:styleId="Style17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Style18">
    <w:name w:val="Заголовок Знак"/>
    <w:basedOn w:val="DefaultParagraphFont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Name">
    <w:name w:val="name"/>
    <w:basedOn w:val="DefaultParagraphFont"/>
    <w:qFormat/>
    <w:rPr>
      <w:rFonts w:ascii="Times New Roman" w:hAnsi="Times New Roman"/>
      <w:caps/>
    </w:rPr>
  </w:style>
  <w:style w:type="character" w:styleId="Promulgator">
    <w:name w:val="promulgator"/>
    <w:basedOn w:val="DefaultParagraphFont"/>
    <w:qFormat/>
    <w:rPr>
      <w:rFonts w:ascii="Times New Roman" w:hAnsi="Times New Roman"/>
      <w:caps/>
    </w:rPr>
  </w:style>
  <w:style w:type="character" w:styleId="Datepr">
    <w:name w:val="datepr"/>
    <w:basedOn w:val="DefaultParagraphFont"/>
    <w:qFormat/>
    <w:rPr>
      <w:rFonts w:ascii="Times New Roman" w:hAnsi="Times New Roman"/>
    </w:rPr>
  </w:style>
  <w:style w:type="character" w:styleId="Number">
    <w:name w:val="number"/>
    <w:basedOn w:val="DefaultParagraphFont"/>
    <w:qFormat/>
    <w:rPr>
      <w:rFonts w:ascii="Times New Roman" w:hAnsi="Times New Roma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1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20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Title">
    <w:name w:val="Title"/>
    <w:basedOn w:val="Normal"/>
    <w:qFormat/>
    <w:pPr>
      <w:spacing w:before="240" w:after="240"/>
      <w:ind w:right="2268" w:hanging="0"/>
    </w:pPr>
    <w:rPr>
      <w:b/>
      <w:bCs/>
      <w:sz w:val="28"/>
      <w:szCs w:val="28"/>
    </w:rPr>
  </w:style>
  <w:style w:type="paragraph" w:styleId="Newncpi">
    <w:name w:val="newncpi"/>
    <w:basedOn w:val="Normal"/>
    <w:qFormat/>
    <w:pPr>
      <w:ind w:firstLine="567"/>
      <w:jc w:val="both"/>
    </w:pPr>
    <w:rPr>
      <w:sz w:val="24"/>
      <w:szCs w:val="24"/>
    </w:rPr>
  </w:style>
  <w:style w:type="paragraph" w:styleId="Newncpi0">
    <w:name w:val="newncpi0"/>
    <w:basedOn w:val="Normal"/>
    <w:qFormat/>
    <w:pPr>
      <w:jc w:val="both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366</Words>
  <Characters>2454</Characters>
  <CharactersWithSpaces>2092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2015-07-07T09:14:00Z</dcterms:created>
  <dc:creator>1</dc:creator>
  <dc:description/>
  <dc:language>en-US</dc:language>
  <cp:lastModifiedBy/>
  <cp:lastPrinted>2016-02-15T14:58:00Z</cp:lastPrinted>
  <dcterms:modified xsi:type="dcterms:W3CDTF">2020-09-24T09:38:00Z</dcterms:modified>
  <cp:revision>14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