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8099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№1.1.20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«О предоставлении жилого помещения государственного жилищного фонда меньшего размера взамен занимаемого»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пользования жилым помещением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40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4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</w:t>
            </w:r>
            <w:r>
              <w:rPr>
                <w:spacing w:val="-4"/>
                <w:sz w:val="26"/>
                <w:szCs w:val="26"/>
              </w:rPr>
              <w:t>тельством сохраняется рав</w:t>
            </w:r>
            <w:r>
              <w:rPr>
                <w:sz w:val="26"/>
                <w:szCs w:val="26"/>
              </w:rPr>
              <w:t>ное с нанимателем право пользования жилым помещением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40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4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свидетельства о рождении </w:t>
            </w:r>
            <w:r>
              <w:rPr>
                <w:spacing w:val="-12"/>
                <w:sz w:val="26"/>
                <w:szCs w:val="26"/>
              </w:rPr>
              <w:t xml:space="preserve">несовершеннолетних детей – </w:t>
            </w:r>
            <w:r>
              <w:rPr>
                <w:sz w:val="26"/>
                <w:szCs w:val="26"/>
              </w:rPr>
              <w:t>для лиц, имеющих несовершеннолетних детей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34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о месте жительства и составе семьи или копия лицевого счета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425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 месяц 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9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274</Words>
  <Characters>1836</Characters>
  <CharactersWithSpaces>1565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2015-07-07T09:13:00Z</dcterms:created>
  <dc:creator>1</dc:creator>
  <dc:description/>
  <dc:language>en-US</dc:language>
  <cp:lastModifiedBy/>
  <cp:lastPrinted>2020-09-24T12:08:00Z</cp:lastPrinted>
  <dcterms:modified xsi:type="dcterms:W3CDTF">2020-09-24T12:08:00Z</dcterms:modified>
  <cp:revision>12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