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8602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10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№1.1.15</w:t>
            </w:r>
            <w:r>
              <w:rPr>
                <w:b/>
                <w:bCs/>
                <w:sz w:val="30"/>
                <w:szCs w:val="30"/>
                <w:vertAlign w:val="superscript"/>
              </w:rPr>
              <w:t>1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«Принятие решения о переводе нежилого помещения в жилое»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>
          <w:trHeight w:val="1994" w:hRule="atLeas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716" w:hRule="atLeas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40"/>
              <w:ind w:left="0" w:right="0" w:hanging="0"/>
              <w:rPr/>
            </w:pPr>
            <w:r>
              <w:rPr>
                <w:sz w:val="26"/>
                <w:szCs w:val="26"/>
              </w:rPr>
              <w:t>заявление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технический паспорт и документ, подтверждающий право собственности на нежилое помещение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письменное согласие всех собственников нежилого помещения, находящегося в общей собственности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письменное согласие третьих лиц – в случае, если право собственности на переводимое нежилое помещение обременено правами третьих лиц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план-схема или перечень (описание) работ по реконструкции нежилого помещения, составленный в произвольной форме</w:t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40" w:before="4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выписка из регистрационной книги о правах, ограничениях (обременениях) прав на капитальное строение**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 w:before="0" w:after="120"/>
              <w:ind w:left="0" w:right="0" w:hanging="0"/>
              <w:jc w:val="both"/>
              <w:rPr/>
            </w:pPr>
            <w:r>
              <w:rPr>
                <w:sz w:val="26"/>
                <w:szCs w:val="26"/>
                <w:lang w:eastAsia="en-US"/>
              </w:rPr>
              <w:t>сведения из городской (районной) инспекции природных ресурсов и охраны окружающей среды, зонального центра гигиены и эпидемиологии, органа госэнергогазнадзора, территориального органа (подразделения) по чрезвычайным ситуациям о соответствии перевода нежилого помещения в жилое правилам в области архитектурной, градостроительной и строительной деятельности, природоохранным, санитарно-эпидемиологическим требованиям, требованиям пожарной безопасности и иным обязательным требованиям технических нормативных правовых актов</w:t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129" w:hRule="atLeas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15 дней 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>ЖК Республики Беларусь (ст.21)</w:t>
      </w:r>
    </w:p>
    <w:sect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MS Mincho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MS Mincho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7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290</Words>
  <Characters>1942</Characters>
  <CharactersWithSpaces>1655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2015-07-07T09:08:00Z</dcterms:created>
  <dc:creator>1</dc:creator>
  <dc:description/>
  <dc:language>en-US</dc:language>
  <cp:lastModifiedBy/>
  <cp:lastPrinted>2020-09-24T11:39:00Z</cp:lastPrinted>
  <dcterms:modified xsi:type="dcterms:W3CDTF">2020-09-24T11:39:00Z</dcterms:modified>
  <cp:revision>12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