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8490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№1.1.10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 w:beforeAutospacing="1" w:afterAutospacing="1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«Принятие решения об индексации именных приватизационных чеков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 w:beforeAutospacing="1" w:afterAutospacing="1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«Жилье» (далее – чеки «Жилье»)</w:t>
            </w:r>
          </w:p>
        </w:tc>
      </w:tr>
      <w:tr>
        <w:trPr>
          <w:trHeight w:val="966" w:hRule="atLeast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5875" w:hRule="atLeast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</w:p>
          <w:p>
            <w:pPr>
              <w:pStyle w:val="Table101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>
                <w:spacing w:val="-8"/>
                <w:sz w:val="26"/>
                <w:szCs w:val="26"/>
              </w:rPr>
              <w:t>паспорт или иной документ,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удостоверяющий личность</w:t>
            </w:r>
          </w:p>
          <w:p>
            <w:pPr>
              <w:pStyle w:val="Table101"/>
              <w:tabs>
                <w:tab w:val="clear" w:pos="708"/>
              </w:tabs>
              <w:bidi w:val="0"/>
              <w:ind w:left="0" w:right="0" w:hanging="0"/>
              <w:jc w:val="both"/>
              <w:rPr/>
            </w:pPr>
            <w:r>
              <w:rPr>
                <w:color w:val="000000"/>
                <w:sz w:val="26"/>
                <w:szCs w:val="26"/>
              </w:rPr>
              <w:t>чеки ”Жилье“ с выпиской из специального (чекового) счета;</w:t>
            </w:r>
          </w:p>
          <w:p>
            <w:pPr>
              <w:pStyle w:val="Table101"/>
              <w:tabs>
                <w:tab w:val="clear" w:pos="708"/>
              </w:tabs>
              <w:bidi w:val="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 xml:space="preserve">свидетельство о праве на наследство либо копия решения суда – в случае, если чеки ”Жилье“ были получены </w:t>
            </w:r>
            <w:r>
              <w:rPr>
                <w:spacing w:val="-8"/>
                <w:sz w:val="26"/>
                <w:szCs w:val="26"/>
              </w:rPr>
              <w:t>по наследству или решению</w:t>
            </w:r>
            <w:r>
              <w:rPr>
                <w:sz w:val="26"/>
                <w:szCs w:val="26"/>
              </w:rPr>
              <w:t xml:space="preserve"> суда</w:t>
            </w:r>
          </w:p>
          <w:p>
            <w:pPr>
              <w:pStyle w:val="Table101"/>
              <w:tabs>
                <w:tab w:val="clear" w:pos="708"/>
              </w:tabs>
              <w:bidi w:val="0"/>
              <w:ind w:left="0" w:right="0" w:firstLine="709"/>
              <w:jc w:val="both"/>
              <w:rPr/>
            </w:pPr>
            <w:r>
              <w:rPr>
                <w:spacing w:val="-4"/>
                <w:sz w:val="26"/>
                <w:szCs w:val="26"/>
              </w:rPr>
              <w:t>договор дарения – в случае,</w:t>
            </w:r>
            <w:r>
              <w:rPr>
                <w:sz w:val="26"/>
                <w:szCs w:val="26"/>
              </w:rPr>
              <w:t xml:space="preserve"> если чеки ”Жилье“ были получены по договору дарения</w:t>
            </w:r>
          </w:p>
          <w:p>
            <w:pPr>
              <w:pStyle w:val="Table101"/>
              <w:tabs>
                <w:tab w:val="clear" w:pos="708"/>
              </w:tabs>
              <w:bidi w:val="0"/>
              <w:ind w:left="0" w:right="0" w:firstLine="709"/>
              <w:jc w:val="both"/>
              <w:rPr/>
            </w:pPr>
            <w:r>
              <w:rPr>
                <w:spacing w:val="-4"/>
                <w:sz w:val="26"/>
                <w:szCs w:val="26"/>
              </w:rPr>
              <w:t>проектно-сметная докумен</w:t>
            </w:r>
            <w:r>
              <w:rPr>
                <w:sz w:val="26"/>
                <w:szCs w:val="26"/>
              </w:rPr>
              <w:t xml:space="preserve">тация на строительство (реконструкцию) жилого </w:t>
            </w:r>
            <w:r>
              <w:rPr>
                <w:spacing w:val="-8"/>
                <w:sz w:val="26"/>
                <w:szCs w:val="26"/>
              </w:rPr>
              <w:t xml:space="preserve">дома, </w:t>
            </w:r>
            <w:r>
              <w:rPr>
                <w:sz w:val="26"/>
                <w:szCs w:val="26"/>
              </w:rPr>
              <w:t xml:space="preserve">документы, подтверждающие стоимость при-обретенных стройматериалов в ценах, действующих на момент обращения, – в случае </w:t>
            </w:r>
            <w:r>
              <w:rPr>
                <w:spacing w:val="-4"/>
                <w:sz w:val="26"/>
                <w:szCs w:val="26"/>
              </w:rPr>
              <w:t>строительства (реконструк</w:t>
            </w:r>
            <w:r>
              <w:rPr>
                <w:spacing w:val="-12"/>
                <w:sz w:val="26"/>
                <w:szCs w:val="26"/>
              </w:rPr>
              <w:t>ции) одноквартирного, блоки</w:t>
            </w:r>
            <w:r>
              <w:rPr>
                <w:sz w:val="26"/>
                <w:szCs w:val="26"/>
              </w:rPr>
              <w:t>рованного жилого дома</w:t>
            </w:r>
          </w:p>
          <w:p>
            <w:pPr>
              <w:pStyle w:val="Table101"/>
              <w:tabs>
                <w:tab w:val="clear" w:pos="708"/>
              </w:tabs>
              <w:bidi w:val="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 xml:space="preserve">справка о задолженности по строительству на момент обращения, выдаваемая организацией застройщиков или застройщиком, – в случае строительства жилых помещений в составе организации застройщиков, в порядке долевого участия в жилищном строительстве, </w:t>
            </w:r>
            <w:r>
              <w:rPr>
                <w:spacing w:val="-8"/>
                <w:sz w:val="26"/>
                <w:szCs w:val="26"/>
              </w:rPr>
              <w:t>по договорам создания объектов долевого строительства или по иным договорам, предусматривающим строительство жилых помещений</w:t>
            </w:r>
          </w:p>
          <w:p>
            <w:pPr>
              <w:pStyle w:val="Table101"/>
              <w:tabs>
                <w:tab w:val="clear" w:pos="708"/>
              </w:tabs>
              <w:bidi w:val="0"/>
              <w:ind w:left="0" w:right="0" w:firstLine="709"/>
              <w:jc w:val="both"/>
              <w:rPr/>
            </w:pPr>
            <w:r>
              <w:rPr>
                <w:color w:val="000000"/>
                <w:spacing w:val="-8"/>
                <w:sz w:val="26"/>
                <w:szCs w:val="26"/>
              </w:rPr>
              <w:t>договор купли-продажи жи</w:t>
            </w:r>
            <w:r>
              <w:rPr>
                <w:color w:val="000000"/>
                <w:spacing w:val="-4"/>
                <w:sz w:val="26"/>
                <w:szCs w:val="26"/>
              </w:rPr>
              <w:t>лого помещения – в случае</w:t>
            </w:r>
            <w:r>
              <w:rPr>
                <w:color w:val="000000"/>
                <w:sz w:val="26"/>
                <w:szCs w:val="26"/>
              </w:rPr>
              <w:t xml:space="preserve"> приобретения жилого помещения путем покупки</w:t>
            </w:r>
          </w:p>
        </w:tc>
      </w:tr>
      <w:tr>
        <w:trPr>
          <w:trHeight w:val="5094" w:hRule="atLeast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справка о начисленной жилищной квоте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справка о состоянии на учете нуждающихся в улучшении жилищных условий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справка подразделения банка (юридического лица) о задолженности по возврату кредита (ссуды) на момент обращения гражданина*** – при погашении задолженности по кредитам (ссудам), взятым и использованным для уплаты паевого взноса в 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 жилищном строительстве, приобретения жилья путем покупки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 xml:space="preserve">сведения о дате ввода дома в эксплуатацию – при погашении задолженности по кредитам (ссудам), взятым и использованным для уплаты паевого взноса в жилищном или жилищно-строительном кооперативе, финансирования </w:t>
            </w:r>
            <w:r>
              <w:rPr>
                <w:spacing w:val="-4"/>
                <w:sz w:val="26"/>
                <w:szCs w:val="26"/>
              </w:rPr>
              <w:t>индивидуального или коллективного жилищного строительства</w:t>
            </w:r>
            <w:r>
              <w:rPr>
                <w:sz w:val="26"/>
                <w:szCs w:val="26"/>
              </w:rPr>
              <w:t>, реконструкции одноквартирных, блокированных жилых домов, долевого участия в жилищном строительстве, приобретения жилья путем покупки после ввода дома в эксплуатацию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бесплатно 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 xml:space="preserve">1 месяц 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566" w:header="0" w:top="360" w:footer="0" w:bottom="18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Table10">
    <w:name w:val="table10 Знак"/>
    <w:basedOn w:val="DefaultParagraph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Style15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Table101">
    <w:name w:val="table10"/>
    <w:basedOn w:val="Normal"/>
    <w:qFormat/>
    <w:pPr/>
    <w:rPr>
      <w:sz w:val="20"/>
      <w:szCs w:val="20"/>
    </w:rPr>
  </w:style>
  <w:style w:type="paragraph" w:styleId="1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6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qFormat/>
    <w:pPr>
      <w:ind w:firstLine="709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426</Words>
  <Characters>2854</Characters>
  <CharactersWithSpaces>2433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2015-07-07T08:54:00Z</dcterms:created>
  <dc:creator>1</dc:creator>
  <dc:description/>
  <dc:language>en-US</dc:language>
  <cp:lastModifiedBy/>
  <cp:lastPrinted>2016-02-15T09:37:00Z</cp:lastPrinted>
  <dcterms:modified xsi:type="dcterms:W3CDTF">2020-09-24T09:40:00Z</dcterms:modified>
  <cp:revision>15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