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2F01" w14:textId="77777777" w:rsidR="00D3060C" w:rsidRDefault="00D3060C" w:rsidP="00D3060C">
      <w:pPr>
        <w:pStyle w:val="a3"/>
        <w:jc w:val="both"/>
        <w:rPr>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7087"/>
      </w:tblGrid>
      <w:tr w:rsidR="000C07CF" w:rsidRPr="000C07CF" w14:paraId="4208B7B7" w14:textId="77777777" w:rsidTr="00D3060C">
        <w:trPr>
          <w:trHeight w:val="1252"/>
        </w:trPr>
        <w:tc>
          <w:tcPr>
            <w:tcW w:w="9740" w:type="dxa"/>
            <w:gridSpan w:val="2"/>
          </w:tcPr>
          <w:p w14:paraId="131E1527" w14:textId="77777777" w:rsidR="000C07CF" w:rsidRPr="000C07CF" w:rsidRDefault="000C07CF" w:rsidP="0026043F">
            <w:pPr>
              <w:jc w:val="center"/>
              <w:rPr>
                <w:rFonts w:ascii="Times New Roman" w:hAnsi="Times New Roman"/>
                <w:b/>
                <w:color w:val="1E0F1C"/>
                <w:sz w:val="24"/>
                <w:szCs w:val="24"/>
              </w:rPr>
            </w:pPr>
            <w:r w:rsidRPr="000C07CF">
              <w:rPr>
                <w:rFonts w:ascii="Times New Roman" w:hAnsi="Times New Roman"/>
                <w:b/>
                <w:bCs/>
                <w:sz w:val="24"/>
                <w:szCs w:val="24"/>
              </w:rPr>
              <w:t xml:space="preserve">Административная процедура </w:t>
            </w:r>
            <w:r w:rsidRPr="000C07CF">
              <w:rPr>
                <w:rFonts w:ascii="Times New Roman" w:hAnsi="Times New Roman"/>
                <w:b/>
                <w:sz w:val="24"/>
                <w:szCs w:val="24"/>
              </w:rPr>
              <w:t>8.13.3</w:t>
            </w:r>
          </w:p>
          <w:tbl>
            <w:tblPr>
              <w:tblW w:w="9524" w:type="dxa"/>
              <w:tblCellMar>
                <w:left w:w="0" w:type="dxa"/>
                <w:right w:w="0" w:type="dxa"/>
              </w:tblCellMar>
              <w:tblLook w:val="04A0" w:firstRow="1" w:lastRow="0" w:firstColumn="1" w:lastColumn="0" w:noHBand="0" w:noVBand="1"/>
            </w:tblPr>
            <w:tblGrid>
              <w:gridCol w:w="9492"/>
              <w:gridCol w:w="32"/>
            </w:tblGrid>
            <w:tr w:rsidR="000C07CF" w:rsidRPr="000C07CF" w14:paraId="4E6060E3" w14:textId="77777777" w:rsidTr="0026043F">
              <w:trPr>
                <w:trHeight w:val="238"/>
              </w:trPr>
              <w:tc>
                <w:tcPr>
                  <w:tcW w:w="4983" w:type="pct"/>
                  <w:tcBorders>
                    <w:top w:val="nil"/>
                    <w:left w:val="nil"/>
                    <w:bottom w:val="nil"/>
                    <w:right w:val="nil"/>
                  </w:tcBorders>
                  <w:tcMar>
                    <w:top w:w="0" w:type="dxa"/>
                    <w:left w:w="6" w:type="dxa"/>
                    <w:bottom w:w="0" w:type="dxa"/>
                    <w:right w:w="6" w:type="dxa"/>
                  </w:tcMar>
                  <w:hideMark/>
                </w:tcPr>
                <w:p w14:paraId="041E4034" w14:textId="77777777" w:rsidR="000C07CF" w:rsidRPr="000C07CF" w:rsidRDefault="000C07CF" w:rsidP="0026043F">
                  <w:pPr>
                    <w:spacing w:before="120" w:afterAutospacing="1"/>
                    <w:jc w:val="center"/>
                    <w:rPr>
                      <w:rFonts w:ascii="Times New Roman" w:hAnsi="Times New Roman"/>
                      <w:b/>
                      <w:sz w:val="24"/>
                      <w:szCs w:val="24"/>
                    </w:rPr>
                  </w:pPr>
                  <w:r w:rsidRPr="000C07CF">
                    <w:rPr>
                      <w:rFonts w:ascii="Times New Roman" w:hAnsi="Times New Roman"/>
                      <w:b/>
                      <w:sz w:val="24"/>
                      <w:szCs w:val="24"/>
                    </w:rPr>
                    <w:t>Переоформление разрешения на размещение средства наружной рекламы</w:t>
                  </w:r>
                </w:p>
              </w:tc>
              <w:tc>
                <w:tcPr>
                  <w:tcW w:w="17" w:type="pct"/>
                  <w:tcBorders>
                    <w:top w:val="nil"/>
                    <w:left w:val="nil"/>
                    <w:bottom w:val="nil"/>
                    <w:right w:val="nil"/>
                  </w:tcBorders>
                  <w:tcMar>
                    <w:top w:w="0" w:type="dxa"/>
                    <w:left w:w="6" w:type="dxa"/>
                    <w:bottom w:w="0" w:type="dxa"/>
                    <w:right w:w="6" w:type="dxa"/>
                  </w:tcMar>
                  <w:hideMark/>
                </w:tcPr>
                <w:p w14:paraId="1791C5DD" w14:textId="77777777" w:rsidR="000C07CF" w:rsidRPr="000C07CF" w:rsidRDefault="000C07CF" w:rsidP="0026043F">
                  <w:pPr>
                    <w:spacing w:before="120" w:afterAutospacing="1"/>
                    <w:jc w:val="center"/>
                    <w:rPr>
                      <w:rFonts w:ascii="Times New Roman" w:hAnsi="Times New Roman"/>
                      <w:sz w:val="24"/>
                      <w:szCs w:val="24"/>
                    </w:rPr>
                  </w:pPr>
                </w:p>
              </w:tc>
            </w:tr>
          </w:tbl>
          <w:p w14:paraId="6271C7BE" w14:textId="77777777" w:rsidR="000C07CF" w:rsidRPr="000C07CF" w:rsidRDefault="000C07CF" w:rsidP="0026043F">
            <w:pPr>
              <w:jc w:val="center"/>
              <w:rPr>
                <w:rFonts w:ascii="Times New Roman" w:hAnsi="Times New Roman"/>
                <w:b/>
                <w:bCs/>
                <w:sz w:val="24"/>
                <w:szCs w:val="24"/>
              </w:rPr>
            </w:pPr>
          </w:p>
        </w:tc>
      </w:tr>
      <w:tr w:rsidR="000C07CF" w:rsidRPr="000C07CF" w14:paraId="1DB5F81E" w14:textId="77777777" w:rsidTr="00D3060C">
        <w:trPr>
          <w:trHeight w:val="1611"/>
        </w:trPr>
        <w:tc>
          <w:tcPr>
            <w:tcW w:w="2525" w:type="dxa"/>
            <w:tcMar>
              <w:left w:w="0" w:type="dxa"/>
              <w:right w:w="0" w:type="dxa"/>
            </w:tcMar>
          </w:tcPr>
          <w:p w14:paraId="637CAC56" w14:textId="77777777" w:rsidR="000C07CF" w:rsidRPr="000C07CF" w:rsidRDefault="000C07CF" w:rsidP="0026043F">
            <w:pPr>
              <w:spacing w:line="220" w:lineRule="exact"/>
              <w:rPr>
                <w:rFonts w:ascii="Times New Roman" w:hAnsi="Times New Roman"/>
                <w:b/>
                <w:bCs/>
                <w:sz w:val="24"/>
                <w:szCs w:val="24"/>
              </w:rPr>
            </w:pPr>
            <w:r w:rsidRPr="000C07CF">
              <w:rPr>
                <w:rFonts w:ascii="Times New Roman" w:hAnsi="Times New Roman"/>
                <w:b/>
                <w:bCs/>
                <w:sz w:val="24"/>
                <w:szCs w:val="24"/>
              </w:rPr>
              <w:t>Наименование структурного подразделения, выполняющего административную процедуру</w:t>
            </w:r>
          </w:p>
          <w:p w14:paraId="40EC5CAC" w14:textId="77777777" w:rsidR="000C07CF" w:rsidRPr="000C07CF" w:rsidRDefault="000C07CF" w:rsidP="0026043F">
            <w:pPr>
              <w:spacing w:line="220" w:lineRule="exact"/>
              <w:rPr>
                <w:rFonts w:ascii="Times New Roman" w:hAnsi="Times New Roman"/>
                <w:b/>
                <w:bCs/>
                <w:sz w:val="24"/>
                <w:szCs w:val="24"/>
              </w:rPr>
            </w:pPr>
          </w:p>
        </w:tc>
        <w:tc>
          <w:tcPr>
            <w:tcW w:w="7215" w:type="dxa"/>
            <w:tcMar>
              <w:left w:w="0" w:type="dxa"/>
              <w:right w:w="0" w:type="dxa"/>
            </w:tcMar>
          </w:tcPr>
          <w:p w14:paraId="46AC0EDF" w14:textId="77777777" w:rsidR="000C07CF" w:rsidRPr="000C07CF" w:rsidRDefault="000C07CF" w:rsidP="0026043F">
            <w:pPr>
              <w:spacing w:line="280" w:lineRule="exact"/>
              <w:rPr>
                <w:rFonts w:ascii="Times New Roman" w:hAnsi="Times New Roman"/>
                <w:sz w:val="24"/>
                <w:szCs w:val="24"/>
              </w:rPr>
            </w:pPr>
            <w:r w:rsidRPr="000C07CF">
              <w:rPr>
                <w:rFonts w:ascii="Times New Roman" w:hAnsi="Times New Roman"/>
                <w:sz w:val="24"/>
                <w:szCs w:val="24"/>
              </w:rPr>
              <w:t>Служба «одно окно»</w:t>
            </w:r>
          </w:p>
          <w:p w14:paraId="51C3596D" w14:textId="77777777" w:rsidR="000C07CF" w:rsidRPr="000C07CF" w:rsidRDefault="000C07CF" w:rsidP="0026043F">
            <w:pPr>
              <w:spacing w:line="280" w:lineRule="exact"/>
              <w:rPr>
                <w:rFonts w:ascii="Times New Roman" w:hAnsi="Times New Roman"/>
                <w:sz w:val="24"/>
                <w:szCs w:val="24"/>
              </w:rPr>
            </w:pPr>
            <w:r w:rsidRPr="000C07CF">
              <w:rPr>
                <w:rFonts w:ascii="Times New Roman" w:hAnsi="Times New Roman"/>
                <w:sz w:val="24"/>
                <w:szCs w:val="24"/>
              </w:rPr>
              <w:t>Вилейский районный исполнительный комитет</w:t>
            </w:r>
          </w:p>
          <w:p w14:paraId="4E4A9153" w14:textId="77777777" w:rsidR="000C07CF" w:rsidRPr="000C07CF" w:rsidRDefault="000C07CF" w:rsidP="0026043F">
            <w:pPr>
              <w:spacing w:line="280" w:lineRule="exact"/>
              <w:rPr>
                <w:rFonts w:ascii="Times New Roman" w:hAnsi="Times New Roman"/>
                <w:sz w:val="24"/>
                <w:szCs w:val="24"/>
              </w:rPr>
            </w:pPr>
            <w:r w:rsidRPr="000C07CF">
              <w:rPr>
                <w:rFonts w:ascii="Times New Roman" w:hAnsi="Times New Roman"/>
                <w:sz w:val="24"/>
                <w:szCs w:val="24"/>
              </w:rPr>
              <w:t>(г. Вилейка, ул. Партизанская, 44)</w:t>
            </w:r>
          </w:p>
        </w:tc>
      </w:tr>
      <w:tr w:rsidR="000C07CF" w:rsidRPr="000C07CF" w14:paraId="75708319" w14:textId="77777777" w:rsidTr="00D3060C">
        <w:trPr>
          <w:trHeight w:val="1393"/>
        </w:trPr>
        <w:tc>
          <w:tcPr>
            <w:tcW w:w="2525" w:type="dxa"/>
            <w:tcMar>
              <w:left w:w="0" w:type="dxa"/>
              <w:right w:w="0" w:type="dxa"/>
            </w:tcMar>
          </w:tcPr>
          <w:p w14:paraId="68FC5E01" w14:textId="77777777" w:rsidR="000C07CF" w:rsidRPr="000C07CF" w:rsidRDefault="000C07CF" w:rsidP="0026043F">
            <w:pPr>
              <w:spacing w:line="220" w:lineRule="exact"/>
              <w:rPr>
                <w:rFonts w:ascii="Times New Roman" w:hAnsi="Times New Roman"/>
                <w:b/>
                <w:bCs/>
                <w:sz w:val="24"/>
                <w:szCs w:val="24"/>
              </w:rPr>
            </w:pPr>
            <w:r w:rsidRPr="000C07CF">
              <w:rPr>
                <w:rFonts w:ascii="Times New Roman" w:hAnsi="Times New Roman"/>
                <w:b/>
                <w:bCs/>
                <w:sz w:val="24"/>
                <w:szCs w:val="24"/>
              </w:rPr>
              <w:t>Документы и (или) сведения, представляемые заинтересованным лицом для осуществления административной процедуры</w:t>
            </w:r>
          </w:p>
        </w:tc>
        <w:tc>
          <w:tcPr>
            <w:tcW w:w="7215" w:type="dxa"/>
            <w:tcMar>
              <w:left w:w="0" w:type="dxa"/>
              <w:right w:w="0" w:type="dxa"/>
            </w:tcMar>
          </w:tcPr>
          <w:p w14:paraId="34AF34AA" w14:textId="77777777" w:rsidR="000C07CF" w:rsidRPr="000C07CF" w:rsidRDefault="000C07CF" w:rsidP="0026043F">
            <w:pPr>
              <w:widowControl w:val="0"/>
              <w:jc w:val="both"/>
              <w:rPr>
                <w:rFonts w:ascii="Times New Roman" w:hAnsi="Times New Roman"/>
                <w:sz w:val="24"/>
                <w:szCs w:val="24"/>
              </w:rPr>
            </w:pPr>
            <w:r w:rsidRPr="000C07CF">
              <w:rPr>
                <w:rFonts w:ascii="Times New Roman" w:hAnsi="Times New Roman"/>
                <w:sz w:val="24"/>
                <w:szCs w:val="24"/>
              </w:rPr>
              <w:t>для переоформления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14:paraId="4084319A" w14:textId="77777777" w:rsidR="000C07CF" w:rsidRPr="000C07CF" w:rsidRDefault="000C07CF" w:rsidP="0026043F">
            <w:pPr>
              <w:widowControl w:val="0"/>
              <w:jc w:val="both"/>
              <w:rPr>
                <w:rFonts w:ascii="Times New Roman" w:hAnsi="Times New Roman"/>
                <w:sz w:val="24"/>
                <w:szCs w:val="24"/>
              </w:rPr>
            </w:pPr>
            <w:r w:rsidRPr="000C07CF">
              <w:rPr>
                <w:rFonts w:ascii="Times New Roman" w:hAnsi="Times New Roman"/>
                <w:sz w:val="24"/>
                <w:szCs w:val="24"/>
              </w:rPr>
              <w:t xml:space="preserve">   заявление на переоформление разрешения на размещение средства наружной рекламы;</w:t>
            </w:r>
          </w:p>
          <w:p w14:paraId="2A6FC49A" w14:textId="77777777" w:rsidR="000C07CF" w:rsidRPr="000C07CF" w:rsidRDefault="000C07CF" w:rsidP="0026043F">
            <w:pPr>
              <w:widowControl w:val="0"/>
              <w:jc w:val="both"/>
              <w:rPr>
                <w:rFonts w:ascii="Times New Roman" w:hAnsi="Times New Roman"/>
                <w:sz w:val="24"/>
                <w:szCs w:val="24"/>
              </w:rPr>
            </w:pPr>
            <w:r w:rsidRPr="000C07CF">
              <w:rPr>
                <w:rFonts w:ascii="Times New Roman" w:hAnsi="Times New Roman"/>
                <w:sz w:val="24"/>
                <w:szCs w:val="24"/>
              </w:rPr>
              <w:t xml:space="preserve">   две фотографии с обозначением места размещения средства наружной рекламы (существующее положение);</w:t>
            </w:r>
          </w:p>
          <w:p w14:paraId="1CD611C1" w14:textId="77777777" w:rsidR="000C07CF" w:rsidRPr="000C07CF" w:rsidRDefault="000C07CF" w:rsidP="0026043F">
            <w:pPr>
              <w:widowControl w:val="0"/>
              <w:jc w:val="both"/>
              <w:rPr>
                <w:rFonts w:ascii="Times New Roman" w:hAnsi="Times New Roman"/>
                <w:sz w:val="24"/>
                <w:szCs w:val="24"/>
              </w:rPr>
            </w:pPr>
            <w:r w:rsidRPr="000C07CF">
              <w:rPr>
                <w:rFonts w:ascii="Times New Roman" w:hAnsi="Times New Roman"/>
                <w:sz w:val="24"/>
                <w:szCs w:val="24"/>
              </w:rPr>
              <w:t xml:space="preserve">   эскиз средства наружной рекламы в увязке с конкретной архитектурно-планировочной ситуацией по месту его размещения – при переоформлении разрешения в связи с модернизацией средства наружной рекламы, в результате которой изменяется вид и (или) в допустимых размерах площадь рекламного поля средства наружной рекламы;</w:t>
            </w:r>
          </w:p>
          <w:p w14:paraId="5B73C95E" w14:textId="77777777" w:rsidR="000C07CF" w:rsidRPr="000C07CF" w:rsidRDefault="000C07CF" w:rsidP="0026043F">
            <w:pPr>
              <w:widowControl w:val="0"/>
              <w:jc w:val="both"/>
              <w:rPr>
                <w:rFonts w:ascii="Times New Roman" w:hAnsi="Times New Roman"/>
                <w:sz w:val="24"/>
                <w:szCs w:val="24"/>
              </w:rPr>
            </w:pPr>
            <w:r w:rsidRPr="000C07CF">
              <w:rPr>
                <w:rFonts w:ascii="Times New Roman" w:hAnsi="Times New Roman"/>
                <w:sz w:val="24"/>
                <w:szCs w:val="24"/>
              </w:rPr>
              <w:t xml:space="preserve">   копия документа, подтверждающего переход права собственности, хозяйственного ведения или оперативного управления на средство наружной рекламы к другому рекламораспространителю, – при переоформлении разрешения в связи с переходом такого права;</w:t>
            </w:r>
          </w:p>
          <w:p w14:paraId="0400F418" w14:textId="77777777" w:rsidR="000C07CF" w:rsidRPr="000C07CF" w:rsidRDefault="000C07CF" w:rsidP="0026043F">
            <w:pPr>
              <w:widowControl w:val="0"/>
              <w:jc w:val="both"/>
              <w:rPr>
                <w:rFonts w:ascii="Times New Roman" w:hAnsi="Times New Roman"/>
                <w:sz w:val="24"/>
                <w:szCs w:val="24"/>
              </w:rPr>
            </w:pPr>
            <w:r w:rsidRPr="000C07CF">
              <w:rPr>
                <w:rFonts w:ascii="Times New Roman" w:hAnsi="Times New Roman"/>
                <w:sz w:val="24"/>
                <w:szCs w:val="24"/>
              </w:rPr>
              <w:t xml:space="preserve">   документ, подтверждающий внесение платы (за исключением внесения платы посредством использования автоматизированной информационной системы единого расчетного и информационного пространства), кроме случаев бесплатного осуществления административной процедуры.</w:t>
            </w:r>
          </w:p>
          <w:p w14:paraId="33A0E123" w14:textId="77777777" w:rsidR="000C07CF" w:rsidRPr="000C07CF" w:rsidRDefault="000C07CF" w:rsidP="0026043F">
            <w:pPr>
              <w:widowControl w:val="0"/>
              <w:jc w:val="both"/>
              <w:rPr>
                <w:rFonts w:ascii="Times New Roman" w:hAnsi="Times New Roman"/>
                <w:sz w:val="24"/>
                <w:szCs w:val="24"/>
              </w:rPr>
            </w:pPr>
            <w:r w:rsidRPr="000C07CF">
              <w:rPr>
                <w:rFonts w:ascii="Times New Roman" w:hAnsi="Times New Roman"/>
                <w:sz w:val="24"/>
                <w:szCs w:val="24"/>
              </w:rPr>
              <w:t xml:space="preserve">для переоформления разрешения на размещение средства наружной рекламы на территории индустриального парка, выданного </w:t>
            </w:r>
            <w:r w:rsidRPr="000C07CF">
              <w:rPr>
                <w:rFonts w:ascii="Times New Roman" w:hAnsi="Times New Roman"/>
                <w:sz w:val="24"/>
                <w:szCs w:val="24"/>
              </w:rPr>
              <w:lastRenderedPageBreak/>
              <w:t>совместной компании, юридическому лицу, осуществляющему деятельность на территории индустриального парка, или резиденту индустриального парка:</w:t>
            </w:r>
          </w:p>
          <w:p w14:paraId="3DE9B9D5" w14:textId="77777777" w:rsidR="000C07CF" w:rsidRPr="000C07CF" w:rsidRDefault="000C07CF" w:rsidP="0026043F">
            <w:pPr>
              <w:widowControl w:val="0"/>
              <w:jc w:val="both"/>
              <w:rPr>
                <w:rFonts w:ascii="Times New Roman" w:hAnsi="Times New Roman"/>
                <w:sz w:val="24"/>
                <w:szCs w:val="24"/>
              </w:rPr>
            </w:pPr>
            <w:r w:rsidRPr="000C07CF">
              <w:rPr>
                <w:rFonts w:ascii="Times New Roman" w:hAnsi="Times New Roman"/>
                <w:sz w:val="24"/>
                <w:szCs w:val="24"/>
              </w:rPr>
              <w:t xml:space="preserve">   заявление на выдачу разрешения на размещение средства наружной рекламы;</w:t>
            </w:r>
          </w:p>
          <w:p w14:paraId="4A8AEA1C" w14:textId="77777777" w:rsidR="000C07CF" w:rsidRPr="000C07CF" w:rsidRDefault="000C07CF" w:rsidP="0026043F">
            <w:pPr>
              <w:widowControl w:val="0"/>
              <w:jc w:val="both"/>
              <w:rPr>
                <w:rFonts w:ascii="Times New Roman" w:hAnsi="Times New Roman"/>
                <w:sz w:val="24"/>
                <w:szCs w:val="24"/>
              </w:rPr>
            </w:pPr>
            <w:r w:rsidRPr="000C07CF">
              <w:rPr>
                <w:rFonts w:ascii="Times New Roman" w:hAnsi="Times New Roman"/>
                <w:sz w:val="24"/>
                <w:szCs w:val="24"/>
              </w:rPr>
              <w:t xml:space="preserve">   эскиз средства наружной рекламы в увязке с конкретной архитектурно-планировочной ситуацией по месту его размещения;</w:t>
            </w:r>
          </w:p>
          <w:p w14:paraId="4E4403D2" w14:textId="77777777" w:rsidR="000C07CF" w:rsidRPr="000C07CF" w:rsidRDefault="000C07CF" w:rsidP="0026043F">
            <w:pPr>
              <w:widowControl w:val="0"/>
              <w:jc w:val="both"/>
              <w:rPr>
                <w:rFonts w:ascii="Times New Roman" w:hAnsi="Times New Roman"/>
                <w:sz w:val="24"/>
                <w:szCs w:val="24"/>
              </w:rPr>
            </w:pPr>
            <w:r w:rsidRPr="000C07CF">
              <w:rPr>
                <w:rFonts w:ascii="Times New Roman" w:hAnsi="Times New Roman"/>
                <w:sz w:val="24"/>
                <w:szCs w:val="24"/>
              </w:rPr>
              <w:t xml:space="preserve">   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рекламораспространитель являются одним лицом;</w:t>
            </w:r>
          </w:p>
          <w:p w14:paraId="22536C5A" w14:textId="77777777" w:rsidR="000C07CF" w:rsidRPr="000C07CF" w:rsidRDefault="000C07CF" w:rsidP="0026043F">
            <w:pPr>
              <w:widowControl w:val="0"/>
              <w:jc w:val="both"/>
              <w:rPr>
                <w:rFonts w:ascii="Times New Roman" w:hAnsi="Times New Roman"/>
                <w:sz w:val="24"/>
                <w:szCs w:val="24"/>
              </w:rPr>
            </w:pPr>
            <w:r w:rsidRPr="000C07CF">
              <w:rPr>
                <w:rFonts w:ascii="Times New Roman" w:hAnsi="Times New Roman"/>
                <w:sz w:val="24"/>
                <w:szCs w:val="24"/>
              </w:rPr>
              <w:t xml:space="preserve">   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w:t>
            </w:r>
          </w:p>
        </w:tc>
      </w:tr>
      <w:tr w:rsidR="000C07CF" w:rsidRPr="000C07CF" w14:paraId="504DACDF" w14:textId="77777777" w:rsidTr="00D3060C">
        <w:trPr>
          <w:trHeight w:val="1128"/>
        </w:trPr>
        <w:tc>
          <w:tcPr>
            <w:tcW w:w="2525" w:type="dxa"/>
            <w:tcMar>
              <w:left w:w="0" w:type="dxa"/>
              <w:right w:w="0" w:type="dxa"/>
            </w:tcMar>
          </w:tcPr>
          <w:p w14:paraId="78623E14" w14:textId="77777777" w:rsidR="000C07CF" w:rsidRPr="000C07CF" w:rsidRDefault="000C07CF" w:rsidP="0026043F">
            <w:pPr>
              <w:spacing w:line="220" w:lineRule="exact"/>
              <w:rPr>
                <w:rFonts w:ascii="Times New Roman" w:hAnsi="Times New Roman"/>
                <w:b/>
                <w:bCs/>
                <w:sz w:val="24"/>
                <w:szCs w:val="24"/>
              </w:rPr>
            </w:pPr>
            <w:r w:rsidRPr="000C07CF">
              <w:rPr>
                <w:rFonts w:ascii="Times New Roman" w:hAnsi="Times New Roman"/>
                <w:b/>
                <w:bCs/>
                <w:sz w:val="24"/>
                <w:szCs w:val="24"/>
              </w:rPr>
              <w:lastRenderedPageBreak/>
              <w:t>Документы и (или) сведения, запрашиваемые государственным органом</w:t>
            </w:r>
            <w:r w:rsidRPr="000C07CF">
              <w:rPr>
                <w:rStyle w:val="aa"/>
                <w:rFonts w:ascii="Times New Roman" w:hAnsi="Times New Roman"/>
                <w:b/>
                <w:bCs/>
                <w:sz w:val="24"/>
                <w:szCs w:val="24"/>
              </w:rPr>
              <w:endnoteReference w:customMarkFollows="1" w:id="1"/>
              <w:sym w:font="Symbol" w:char="F02A"/>
            </w:r>
          </w:p>
          <w:p w14:paraId="6BF489F6" w14:textId="77777777" w:rsidR="000C07CF" w:rsidRPr="000C07CF" w:rsidRDefault="000C07CF" w:rsidP="0026043F">
            <w:pPr>
              <w:spacing w:line="220" w:lineRule="exact"/>
              <w:rPr>
                <w:rFonts w:ascii="Times New Roman" w:hAnsi="Times New Roman"/>
                <w:b/>
                <w:bCs/>
                <w:sz w:val="24"/>
                <w:szCs w:val="24"/>
              </w:rPr>
            </w:pPr>
          </w:p>
        </w:tc>
        <w:tc>
          <w:tcPr>
            <w:tcW w:w="7215" w:type="dxa"/>
            <w:tcMar>
              <w:left w:w="0" w:type="dxa"/>
              <w:right w:w="0" w:type="dxa"/>
            </w:tcMar>
          </w:tcPr>
          <w:p w14:paraId="1F5D9695" w14:textId="77777777" w:rsidR="000C07CF" w:rsidRPr="000C07CF" w:rsidRDefault="000C07CF" w:rsidP="0026043F">
            <w:pPr>
              <w:autoSpaceDE w:val="0"/>
              <w:autoSpaceDN w:val="0"/>
              <w:adjustRightInd w:val="0"/>
              <w:spacing w:after="240" w:line="240" w:lineRule="exact"/>
              <w:ind w:right="45"/>
              <w:jc w:val="both"/>
              <w:rPr>
                <w:rFonts w:ascii="Times New Roman" w:hAnsi="Times New Roman"/>
                <w:sz w:val="24"/>
                <w:szCs w:val="24"/>
                <w:lang w:val="be-BY"/>
              </w:rPr>
            </w:pPr>
            <w:r w:rsidRPr="000C07CF">
              <w:rPr>
                <w:rFonts w:ascii="Times New Roman" w:hAnsi="Times New Roman"/>
                <w:sz w:val="24"/>
                <w:szCs w:val="24"/>
              </w:rPr>
              <w:t xml:space="preserve">    </w:t>
            </w:r>
          </w:p>
          <w:p w14:paraId="6466A17A" w14:textId="77777777" w:rsidR="000C07CF" w:rsidRPr="000C07CF" w:rsidRDefault="000C07CF" w:rsidP="0026043F">
            <w:pPr>
              <w:autoSpaceDE w:val="0"/>
              <w:autoSpaceDN w:val="0"/>
              <w:adjustRightInd w:val="0"/>
              <w:spacing w:after="240" w:line="240" w:lineRule="exact"/>
              <w:ind w:right="45"/>
              <w:jc w:val="both"/>
              <w:rPr>
                <w:rFonts w:ascii="Times New Roman" w:hAnsi="Times New Roman"/>
                <w:sz w:val="24"/>
                <w:szCs w:val="24"/>
                <w:lang w:val="be-BY"/>
              </w:rPr>
            </w:pPr>
          </w:p>
        </w:tc>
      </w:tr>
      <w:tr w:rsidR="000C07CF" w:rsidRPr="000C07CF" w14:paraId="0E123DD9" w14:textId="77777777" w:rsidTr="00D3060C">
        <w:tc>
          <w:tcPr>
            <w:tcW w:w="2525" w:type="dxa"/>
            <w:tcMar>
              <w:left w:w="0" w:type="dxa"/>
              <w:right w:w="0" w:type="dxa"/>
            </w:tcMar>
          </w:tcPr>
          <w:p w14:paraId="4EEDC1E6" w14:textId="77777777" w:rsidR="000C07CF" w:rsidRPr="000C07CF" w:rsidRDefault="000C07CF" w:rsidP="0026043F">
            <w:pPr>
              <w:spacing w:line="220" w:lineRule="exact"/>
              <w:rPr>
                <w:rFonts w:ascii="Times New Roman" w:hAnsi="Times New Roman"/>
                <w:b/>
                <w:bCs/>
                <w:sz w:val="24"/>
                <w:szCs w:val="24"/>
              </w:rPr>
            </w:pPr>
            <w:r w:rsidRPr="000C07CF">
              <w:rPr>
                <w:rFonts w:ascii="Times New Roman" w:hAnsi="Times New Roman"/>
                <w:b/>
                <w:bCs/>
                <w:sz w:val="24"/>
                <w:szCs w:val="24"/>
              </w:rPr>
              <w:t>Размер платы, взимаемой при осуществлении административной процедуры</w:t>
            </w:r>
          </w:p>
        </w:tc>
        <w:tc>
          <w:tcPr>
            <w:tcW w:w="7215" w:type="dxa"/>
            <w:tcMar>
              <w:left w:w="0" w:type="dxa"/>
              <w:right w:w="0" w:type="dxa"/>
            </w:tcMar>
          </w:tcPr>
          <w:p w14:paraId="12347B0F" w14:textId="77777777" w:rsidR="000C07CF" w:rsidRPr="000C07CF" w:rsidRDefault="000C07CF" w:rsidP="0026043F">
            <w:pPr>
              <w:spacing w:before="120"/>
              <w:rPr>
                <w:rFonts w:ascii="Times New Roman" w:hAnsi="Times New Roman"/>
                <w:sz w:val="24"/>
                <w:szCs w:val="24"/>
              </w:rPr>
            </w:pPr>
            <w:r w:rsidRPr="000C07CF">
              <w:rPr>
                <w:rFonts w:ascii="Times New Roman" w:hAnsi="Times New Roman"/>
                <w:color w:val="4B4E50"/>
                <w:sz w:val="24"/>
                <w:szCs w:val="24"/>
              </w:rPr>
              <w:t xml:space="preserve">информация об оплате – </w:t>
            </w:r>
            <w:hyperlink r:id="rId7" w:history="1">
              <w:r w:rsidRPr="000C07CF">
                <w:rPr>
                  <w:rStyle w:val="a4"/>
                  <w:rFonts w:ascii="Times New Roman" w:hAnsi="Times New Roman"/>
                  <w:sz w:val="24"/>
                  <w:szCs w:val="24"/>
                </w:rPr>
                <w:t>https://vileyka.gov.by/odno-okno/poryadok-podachi-zayavlenij</w:t>
              </w:r>
            </w:hyperlink>
          </w:p>
          <w:p w14:paraId="0261B483" w14:textId="77777777" w:rsidR="000C07CF" w:rsidRPr="000C07CF" w:rsidRDefault="000C07CF" w:rsidP="0026043F">
            <w:pPr>
              <w:spacing w:before="120"/>
              <w:rPr>
                <w:rFonts w:ascii="Times New Roman" w:hAnsi="Times New Roman"/>
                <w:sz w:val="24"/>
                <w:szCs w:val="24"/>
              </w:rPr>
            </w:pPr>
            <w:r w:rsidRPr="000C07CF">
              <w:rPr>
                <w:rFonts w:ascii="Times New Roman" w:hAnsi="Times New Roman"/>
                <w:sz w:val="24"/>
                <w:szCs w:val="24"/>
              </w:rPr>
              <w:t>бесплатно – при переоформлении разрешения на размещение средства наружной рекламы:</w:t>
            </w:r>
          </w:p>
          <w:p w14:paraId="7956B2B2" w14:textId="77777777" w:rsidR="000C07CF" w:rsidRPr="000C07CF" w:rsidRDefault="000C07CF" w:rsidP="0026043F">
            <w:pPr>
              <w:spacing w:before="120"/>
              <w:jc w:val="both"/>
              <w:rPr>
                <w:rFonts w:ascii="Times New Roman" w:hAnsi="Times New Roman"/>
                <w:sz w:val="24"/>
                <w:szCs w:val="24"/>
              </w:rPr>
            </w:pPr>
            <w:r w:rsidRPr="000C07CF">
              <w:rPr>
                <w:rFonts w:ascii="Times New Roman" w:hAnsi="Times New Roman"/>
                <w:sz w:val="24"/>
                <w:szCs w:val="24"/>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  по причине изменения формы паспорта средства наружной рекламы в связи с изменением законодательства</w:t>
            </w:r>
          </w:p>
        </w:tc>
      </w:tr>
      <w:tr w:rsidR="000C07CF" w:rsidRPr="000C07CF" w14:paraId="6240B6CB" w14:textId="77777777" w:rsidTr="00D3060C">
        <w:tc>
          <w:tcPr>
            <w:tcW w:w="2525" w:type="dxa"/>
            <w:tcMar>
              <w:left w:w="0" w:type="dxa"/>
              <w:right w:w="0" w:type="dxa"/>
            </w:tcMar>
          </w:tcPr>
          <w:p w14:paraId="6CDB5684" w14:textId="77777777" w:rsidR="000C07CF" w:rsidRPr="000C07CF" w:rsidRDefault="000C07CF" w:rsidP="0026043F">
            <w:pPr>
              <w:spacing w:line="220" w:lineRule="exact"/>
              <w:rPr>
                <w:rFonts w:ascii="Times New Roman" w:hAnsi="Times New Roman"/>
                <w:b/>
                <w:bCs/>
                <w:sz w:val="24"/>
                <w:szCs w:val="24"/>
              </w:rPr>
            </w:pPr>
            <w:r w:rsidRPr="000C07CF">
              <w:rPr>
                <w:rFonts w:ascii="Times New Roman" w:hAnsi="Times New Roman"/>
                <w:b/>
                <w:bCs/>
                <w:sz w:val="24"/>
                <w:szCs w:val="24"/>
              </w:rPr>
              <w:t>Максимальный срок осуществления административной процедуры</w:t>
            </w:r>
          </w:p>
        </w:tc>
        <w:tc>
          <w:tcPr>
            <w:tcW w:w="7215" w:type="dxa"/>
            <w:tcMar>
              <w:left w:w="0" w:type="dxa"/>
              <w:right w:w="0" w:type="dxa"/>
            </w:tcMar>
          </w:tcPr>
          <w:p w14:paraId="3592F7FF" w14:textId="77777777" w:rsidR="000C07CF" w:rsidRPr="000C07CF" w:rsidRDefault="000C07CF" w:rsidP="0026043F">
            <w:pPr>
              <w:spacing w:line="280" w:lineRule="exact"/>
              <w:jc w:val="both"/>
              <w:rPr>
                <w:rFonts w:ascii="Times New Roman" w:hAnsi="Times New Roman"/>
                <w:sz w:val="24"/>
                <w:szCs w:val="24"/>
              </w:rPr>
            </w:pPr>
            <w:r w:rsidRPr="000C07CF">
              <w:rPr>
                <w:rFonts w:ascii="Times New Roman" w:hAnsi="Times New Roman"/>
                <w:sz w:val="24"/>
                <w:szCs w:val="24"/>
              </w:rPr>
              <w:t>5 рабочих дней</w:t>
            </w:r>
          </w:p>
        </w:tc>
      </w:tr>
      <w:tr w:rsidR="000C07CF" w:rsidRPr="000C07CF" w14:paraId="3FB00D05" w14:textId="77777777" w:rsidTr="00D3060C">
        <w:trPr>
          <w:trHeight w:val="1562"/>
        </w:trPr>
        <w:tc>
          <w:tcPr>
            <w:tcW w:w="2525" w:type="dxa"/>
            <w:tcMar>
              <w:left w:w="0" w:type="dxa"/>
              <w:right w:w="0" w:type="dxa"/>
            </w:tcMar>
          </w:tcPr>
          <w:p w14:paraId="67B17CAF" w14:textId="77777777" w:rsidR="000C07CF" w:rsidRPr="000C07CF" w:rsidRDefault="000C07CF" w:rsidP="0026043F">
            <w:pPr>
              <w:spacing w:line="220" w:lineRule="exact"/>
              <w:rPr>
                <w:rFonts w:ascii="Times New Roman" w:hAnsi="Times New Roman"/>
                <w:b/>
                <w:bCs/>
                <w:sz w:val="24"/>
                <w:szCs w:val="24"/>
              </w:rPr>
            </w:pPr>
            <w:r w:rsidRPr="000C07CF">
              <w:rPr>
                <w:rFonts w:ascii="Times New Roman" w:hAnsi="Times New Roman"/>
                <w:b/>
                <w:bCs/>
                <w:sz w:val="24"/>
                <w:szCs w:val="24"/>
              </w:rPr>
              <w:lastRenderedPageBreak/>
              <w:t>Срок действия справки, другого документа (решения), выдаваемых (принимаемого) при осуществлении административной процедуры</w:t>
            </w:r>
          </w:p>
        </w:tc>
        <w:tc>
          <w:tcPr>
            <w:tcW w:w="7215" w:type="dxa"/>
            <w:tcMar>
              <w:left w:w="0" w:type="dxa"/>
              <w:right w:w="0" w:type="dxa"/>
            </w:tcMar>
          </w:tcPr>
          <w:p w14:paraId="1F0937D8" w14:textId="77777777" w:rsidR="000C07CF" w:rsidRPr="000C07CF" w:rsidRDefault="000C07CF" w:rsidP="0026043F">
            <w:pPr>
              <w:spacing w:line="280" w:lineRule="exact"/>
              <w:jc w:val="both"/>
              <w:rPr>
                <w:rFonts w:ascii="Times New Roman" w:hAnsi="Times New Roman"/>
                <w:sz w:val="24"/>
                <w:szCs w:val="24"/>
              </w:rPr>
            </w:pPr>
            <w:r w:rsidRPr="000C07CF">
              <w:rPr>
                <w:rFonts w:ascii="Times New Roman" w:hAnsi="Times New Roman"/>
                <w:sz w:val="24"/>
                <w:szCs w:val="24"/>
              </w:rPr>
              <w:t>срок действия переоформленного разрешения должен соответствовать сроку действия ранее выданного разрешения, а в случае переоформления разрешения в связи с модернизацией средства наружной рекламы, в результате которой изменяется вид средства наружной рекламы и (или) в допустимых размерах площадь его рекламного поля, – сроку действия разрешения на размещение соответствующего средства наружной рекламы, предусмотренному в </w:t>
            </w:r>
            <w:hyperlink r:id="rId8" w:anchor="a11" w:tooltip="+" w:history="1">
              <w:r w:rsidRPr="000C07CF">
                <w:rPr>
                  <w:rFonts w:ascii="Times New Roman" w:hAnsi="Times New Roman"/>
                  <w:color w:val="0000FF"/>
                  <w:sz w:val="24"/>
                  <w:szCs w:val="24"/>
                  <w:u w:val="single"/>
                </w:rPr>
                <w:t>пункте 3</w:t>
              </w:r>
            </w:hyperlink>
            <w:r w:rsidRPr="000C07CF">
              <w:rPr>
                <w:rFonts w:ascii="Times New Roman" w:hAnsi="Times New Roman"/>
                <w:sz w:val="24"/>
                <w:szCs w:val="24"/>
              </w:rPr>
              <w:t xml:space="preserve"> Регламента административной процедуры, осуществляемой в отношении субъектов хозяйствования, по подпункту 8.13.1 «Получение разрешения на размещение средства наружной рекламы», утвержденного постановлением, утвердившим настоящий Регламент</w:t>
            </w:r>
          </w:p>
        </w:tc>
      </w:tr>
    </w:tbl>
    <w:p w14:paraId="5FF05174" w14:textId="77777777" w:rsidR="000C07CF" w:rsidRDefault="000C07CF" w:rsidP="008476B7">
      <w:pPr>
        <w:pStyle w:val="a3"/>
        <w:spacing w:before="0" w:beforeAutospacing="0" w:after="0" w:afterAutospacing="0" w:line="280" w:lineRule="exact"/>
        <w:jc w:val="both"/>
        <w:rPr>
          <w:sz w:val="28"/>
          <w:szCs w:val="28"/>
        </w:rPr>
      </w:pPr>
    </w:p>
    <w:p w14:paraId="2171CAC6" w14:textId="77777777" w:rsidR="008476B7" w:rsidRPr="008476B7" w:rsidRDefault="008476B7" w:rsidP="008476B7">
      <w:pPr>
        <w:pStyle w:val="a3"/>
        <w:spacing w:before="0" w:beforeAutospacing="0" w:after="0" w:afterAutospacing="0" w:line="280" w:lineRule="exact"/>
        <w:jc w:val="both"/>
        <w:rPr>
          <w:sz w:val="28"/>
          <w:szCs w:val="28"/>
        </w:rPr>
      </w:pPr>
    </w:p>
    <w:sectPr w:rsidR="008476B7" w:rsidRPr="008476B7">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48DED" w14:textId="77777777" w:rsidR="00C92687" w:rsidRDefault="00C92687" w:rsidP="003033CB">
      <w:pPr>
        <w:spacing w:after="0" w:line="240" w:lineRule="auto"/>
      </w:pPr>
      <w:r>
        <w:separator/>
      </w:r>
    </w:p>
  </w:endnote>
  <w:endnote w:type="continuationSeparator" w:id="0">
    <w:p w14:paraId="71275A84" w14:textId="77777777" w:rsidR="00C92687" w:rsidRDefault="00C92687" w:rsidP="003033CB">
      <w:pPr>
        <w:spacing w:after="0" w:line="240" w:lineRule="auto"/>
      </w:pPr>
      <w:r>
        <w:continuationSeparator/>
      </w:r>
    </w:p>
  </w:endnote>
  <w:endnote w:id="1">
    <w:p w14:paraId="41593A05" w14:textId="77777777" w:rsidR="00000000" w:rsidRDefault="00C92687" w:rsidP="000C07CF">
      <w:pPr>
        <w:pStyle w:val="a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2AD5" w14:textId="77777777" w:rsidR="00C92687" w:rsidRDefault="00C92687" w:rsidP="003033CB">
      <w:pPr>
        <w:spacing w:after="0" w:line="240" w:lineRule="auto"/>
      </w:pPr>
      <w:r>
        <w:separator/>
      </w:r>
    </w:p>
  </w:footnote>
  <w:footnote w:type="continuationSeparator" w:id="0">
    <w:p w14:paraId="45C52387" w14:textId="77777777" w:rsidR="00C92687" w:rsidRDefault="00C92687" w:rsidP="00303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2125"/>
    <w:multiLevelType w:val="hybridMultilevel"/>
    <w:tmpl w:val="198EA0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46"/>
    <w:rsid w:val="00044E36"/>
    <w:rsid w:val="000B2730"/>
    <w:rsid w:val="000C07CF"/>
    <w:rsid w:val="00125D15"/>
    <w:rsid w:val="0014017B"/>
    <w:rsid w:val="001A21CE"/>
    <w:rsid w:val="001B2719"/>
    <w:rsid w:val="001C4A2F"/>
    <w:rsid w:val="00214778"/>
    <w:rsid w:val="00221649"/>
    <w:rsid w:val="00241032"/>
    <w:rsid w:val="0026043F"/>
    <w:rsid w:val="00263FDA"/>
    <w:rsid w:val="003033CB"/>
    <w:rsid w:val="00310846"/>
    <w:rsid w:val="00360FA7"/>
    <w:rsid w:val="003B17A8"/>
    <w:rsid w:val="003B75FA"/>
    <w:rsid w:val="003C422A"/>
    <w:rsid w:val="003C4D14"/>
    <w:rsid w:val="003E47AF"/>
    <w:rsid w:val="003F67E9"/>
    <w:rsid w:val="005477A1"/>
    <w:rsid w:val="00555E21"/>
    <w:rsid w:val="005E0E49"/>
    <w:rsid w:val="006077D8"/>
    <w:rsid w:val="00614A7E"/>
    <w:rsid w:val="00676C25"/>
    <w:rsid w:val="00747DE4"/>
    <w:rsid w:val="007728B1"/>
    <w:rsid w:val="007D1209"/>
    <w:rsid w:val="008476B7"/>
    <w:rsid w:val="008762DD"/>
    <w:rsid w:val="00884F3D"/>
    <w:rsid w:val="008A44E3"/>
    <w:rsid w:val="00913BCF"/>
    <w:rsid w:val="009B7E87"/>
    <w:rsid w:val="00A07ACA"/>
    <w:rsid w:val="00AD5800"/>
    <w:rsid w:val="00AD7A99"/>
    <w:rsid w:val="00B23BCC"/>
    <w:rsid w:val="00C3486F"/>
    <w:rsid w:val="00C92687"/>
    <w:rsid w:val="00CE25D2"/>
    <w:rsid w:val="00D10EA0"/>
    <w:rsid w:val="00D247FF"/>
    <w:rsid w:val="00D3060C"/>
    <w:rsid w:val="00D57A0A"/>
    <w:rsid w:val="00DB08BE"/>
    <w:rsid w:val="00DB6C71"/>
    <w:rsid w:val="00E02AA7"/>
    <w:rsid w:val="00ED3768"/>
    <w:rsid w:val="00F07188"/>
    <w:rsid w:val="00F61429"/>
    <w:rsid w:val="00F67D77"/>
    <w:rsid w:val="00F70FA9"/>
    <w:rsid w:val="00F83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89F0C6"/>
  <w14:defaultImageDpi w14:val="0"/>
  <w15:docId w15:val="{01B1E539-5405-4523-9FDF-7D256D77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BCC"/>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rsid w:val="00B23BCC"/>
    <w:rPr>
      <w:rFonts w:cs="Times New Roman"/>
      <w:color w:val="0000FF" w:themeColor="hyperlink"/>
      <w:u w:val="single"/>
    </w:rPr>
  </w:style>
  <w:style w:type="paragraph" w:styleId="a5">
    <w:name w:val="Body Text Indent"/>
    <w:basedOn w:val="a"/>
    <w:link w:val="a6"/>
    <w:uiPriority w:val="99"/>
    <w:rsid w:val="00D57A0A"/>
    <w:pPr>
      <w:spacing w:after="0" w:line="360" w:lineRule="auto"/>
      <w:ind w:firstLine="567"/>
      <w:jc w:val="both"/>
    </w:pPr>
    <w:rPr>
      <w:rFonts w:ascii="Times New Roman" w:hAnsi="Times New Roman"/>
      <w:sz w:val="24"/>
      <w:szCs w:val="20"/>
    </w:rPr>
  </w:style>
  <w:style w:type="character" w:customStyle="1" w:styleId="a6">
    <w:name w:val="Основной текст с отступом Знак"/>
    <w:basedOn w:val="a0"/>
    <w:link w:val="a5"/>
    <w:uiPriority w:val="99"/>
    <w:locked/>
    <w:rsid w:val="00D57A0A"/>
    <w:rPr>
      <w:rFonts w:ascii="Times New Roman" w:hAnsi="Times New Roman" w:cs="Times New Roman"/>
      <w:sz w:val="20"/>
      <w:szCs w:val="20"/>
    </w:rPr>
  </w:style>
  <w:style w:type="paragraph" w:customStyle="1" w:styleId="table10">
    <w:name w:val="table10"/>
    <w:basedOn w:val="a"/>
    <w:rsid w:val="003C4D14"/>
    <w:pPr>
      <w:spacing w:after="0" w:line="240" w:lineRule="auto"/>
    </w:pPr>
    <w:rPr>
      <w:rFonts w:ascii="Times New Roman" w:hAnsi="Times New Roman"/>
      <w:sz w:val="20"/>
      <w:szCs w:val="20"/>
    </w:rPr>
  </w:style>
  <w:style w:type="paragraph" w:styleId="a7">
    <w:name w:val="endnote text"/>
    <w:basedOn w:val="a"/>
    <w:link w:val="a8"/>
    <w:uiPriority w:val="99"/>
    <w:unhideWhenUsed/>
    <w:rsid w:val="005477A1"/>
    <w:pPr>
      <w:spacing w:after="0" w:line="240" w:lineRule="auto"/>
    </w:pPr>
    <w:rPr>
      <w:rFonts w:ascii="Times New Roman" w:hAnsi="Times New Roman"/>
      <w:color w:val="000000"/>
      <w:sz w:val="20"/>
      <w:szCs w:val="20"/>
    </w:rPr>
  </w:style>
  <w:style w:type="character" w:customStyle="1" w:styleId="a8">
    <w:name w:val="Текст концевой сноски Знак"/>
    <w:basedOn w:val="a0"/>
    <w:link w:val="a7"/>
    <w:uiPriority w:val="99"/>
    <w:locked/>
    <w:rsid w:val="005477A1"/>
    <w:rPr>
      <w:rFonts w:ascii="Times New Roman" w:hAnsi="Times New Roman" w:cs="Times New Roman"/>
      <w:color w:val="000000"/>
      <w:sz w:val="20"/>
      <w:szCs w:val="20"/>
    </w:rPr>
  </w:style>
  <w:style w:type="character" w:styleId="a9">
    <w:name w:val="Strong"/>
    <w:basedOn w:val="a0"/>
    <w:uiPriority w:val="22"/>
    <w:qFormat/>
    <w:rsid w:val="001B2719"/>
    <w:rPr>
      <w:rFonts w:cs="Times New Roman"/>
      <w:b/>
    </w:rPr>
  </w:style>
  <w:style w:type="character" w:styleId="aa">
    <w:name w:val="endnote reference"/>
    <w:basedOn w:val="a0"/>
    <w:uiPriority w:val="99"/>
    <w:rsid w:val="000C07C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761029">
      <w:marLeft w:val="0"/>
      <w:marRight w:val="0"/>
      <w:marTop w:val="0"/>
      <w:marBottom w:val="0"/>
      <w:divBdr>
        <w:top w:val="none" w:sz="0" w:space="0" w:color="auto"/>
        <w:left w:val="none" w:sz="0" w:space="0" w:color="auto"/>
        <w:bottom w:val="none" w:sz="0" w:space="0" w:color="auto"/>
        <w:right w:val="none" w:sz="0" w:space="0" w:color="auto"/>
      </w:divBdr>
    </w:div>
    <w:div w:id="1978761030">
      <w:marLeft w:val="0"/>
      <w:marRight w:val="0"/>
      <w:marTop w:val="0"/>
      <w:marBottom w:val="0"/>
      <w:divBdr>
        <w:top w:val="none" w:sz="0" w:space="0" w:color="auto"/>
        <w:left w:val="none" w:sz="0" w:space="0" w:color="auto"/>
        <w:bottom w:val="none" w:sz="0" w:space="0" w:color="auto"/>
        <w:right w:val="none" w:sz="0" w:space="0" w:color="auto"/>
      </w:divBdr>
    </w:div>
    <w:div w:id="1978761031">
      <w:marLeft w:val="0"/>
      <w:marRight w:val="0"/>
      <w:marTop w:val="0"/>
      <w:marBottom w:val="0"/>
      <w:divBdr>
        <w:top w:val="none" w:sz="0" w:space="0" w:color="auto"/>
        <w:left w:val="none" w:sz="0" w:space="0" w:color="auto"/>
        <w:bottom w:val="none" w:sz="0" w:space="0" w:color="auto"/>
        <w:right w:val="none" w:sz="0" w:space="0" w:color="auto"/>
      </w:divBdr>
    </w:div>
    <w:div w:id="1978761032">
      <w:marLeft w:val="0"/>
      <w:marRight w:val="0"/>
      <w:marTop w:val="0"/>
      <w:marBottom w:val="0"/>
      <w:divBdr>
        <w:top w:val="none" w:sz="0" w:space="0" w:color="auto"/>
        <w:left w:val="none" w:sz="0" w:space="0" w:color="auto"/>
        <w:bottom w:val="none" w:sz="0" w:space="0" w:color="auto"/>
        <w:right w:val="none" w:sz="0" w:space="0" w:color="auto"/>
      </w:divBdr>
    </w:div>
    <w:div w:id="1978761033">
      <w:marLeft w:val="0"/>
      <w:marRight w:val="0"/>
      <w:marTop w:val="0"/>
      <w:marBottom w:val="0"/>
      <w:divBdr>
        <w:top w:val="none" w:sz="0" w:space="0" w:color="auto"/>
        <w:left w:val="none" w:sz="0" w:space="0" w:color="auto"/>
        <w:bottom w:val="none" w:sz="0" w:space="0" w:color="auto"/>
        <w:right w:val="none" w:sz="0" w:space="0" w:color="auto"/>
      </w:divBdr>
    </w:div>
    <w:div w:id="1978761034">
      <w:marLeft w:val="0"/>
      <w:marRight w:val="0"/>
      <w:marTop w:val="0"/>
      <w:marBottom w:val="0"/>
      <w:divBdr>
        <w:top w:val="none" w:sz="0" w:space="0" w:color="auto"/>
        <w:left w:val="none" w:sz="0" w:space="0" w:color="auto"/>
        <w:bottom w:val="none" w:sz="0" w:space="0" w:color="auto"/>
        <w:right w:val="none" w:sz="0" w:space="0" w:color="auto"/>
      </w:divBdr>
    </w:div>
    <w:div w:id="1978761035">
      <w:marLeft w:val="0"/>
      <w:marRight w:val="0"/>
      <w:marTop w:val="0"/>
      <w:marBottom w:val="0"/>
      <w:divBdr>
        <w:top w:val="none" w:sz="0" w:space="0" w:color="auto"/>
        <w:left w:val="none" w:sz="0" w:space="0" w:color="auto"/>
        <w:bottom w:val="none" w:sz="0" w:space="0" w:color="auto"/>
        <w:right w:val="none" w:sz="0" w:space="0" w:color="auto"/>
      </w:divBdr>
    </w:div>
    <w:div w:id="1978761036">
      <w:marLeft w:val="0"/>
      <w:marRight w:val="0"/>
      <w:marTop w:val="0"/>
      <w:marBottom w:val="0"/>
      <w:divBdr>
        <w:top w:val="none" w:sz="0" w:space="0" w:color="auto"/>
        <w:left w:val="none" w:sz="0" w:space="0" w:color="auto"/>
        <w:bottom w:val="none" w:sz="0" w:space="0" w:color="auto"/>
        <w:right w:val="none" w:sz="0" w:space="0" w:color="auto"/>
      </w:divBdr>
    </w:div>
    <w:div w:id="1978761037">
      <w:marLeft w:val="0"/>
      <w:marRight w:val="0"/>
      <w:marTop w:val="0"/>
      <w:marBottom w:val="0"/>
      <w:divBdr>
        <w:top w:val="none" w:sz="0" w:space="0" w:color="auto"/>
        <w:left w:val="none" w:sz="0" w:space="0" w:color="auto"/>
        <w:bottom w:val="none" w:sz="0" w:space="0" w:color="auto"/>
        <w:right w:val="none" w:sz="0" w:space="0" w:color="auto"/>
      </w:divBdr>
    </w:div>
    <w:div w:id="1978761038">
      <w:marLeft w:val="0"/>
      <w:marRight w:val="0"/>
      <w:marTop w:val="0"/>
      <w:marBottom w:val="0"/>
      <w:divBdr>
        <w:top w:val="none" w:sz="0" w:space="0" w:color="auto"/>
        <w:left w:val="none" w:sz="0" w:space="0" w:color="auto"/>
        <w:bottom w:val="none" w:sz="0" w:space="0" w:color="auto"/>
        <w:right w:val="none" w:sz="0" w:space="0" w:color="auto"/>
      </w:divBdr>
    </w:div>
    <w:div w:id="1978761039">
      <w:marLeft w:val="0"/>
      <w:marRight w:val="0"/>
      <w:marTop w:val="0"/>
      <w:marBottom w:val="0"/>
      <w:divBdr>
        <w:top w:val="none" w:sz="0" w:space="0" w:color="auto"/>
        <w:left w:val="none" w:sz="0" w:space="0" w:color="auto"/>
        <w:bottom w:val="none" w:sz="0" w:space="0" w:color="auto"/>
        <w:right w:val="none" w:sz="0" w:space="0" w:color="auto"/>
      </w:divBdr>
    </w:div>
    <w:div w:id="19787610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616150&amp;f=%EF%EE%F1%F2%E0%ED%EE%E2%EB%E5%ED%E8%E5+23+%EE%F2+23+03+2022" TargetMode="External"/><Relationship Id="rId3" Type="http://schemas.openxmlformats.org/officeDocument/2006/relationships/settings" Target="settings.xml"/><Relationship Id="rId7" Type="http://schemas.openxmlformats.org/officeDocument/2006/relationships/hyperlink" Target="https://vileyka.gov.by/odno-okno/poryadok-podachi-zayavleni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специалист</dc:creator>
  <cp:keywords/>
  <dc:description/>
  <cp:lastModifiedBy>Nick G</cp:lastModifiedBy>
  <cp:revision>2</cp:revision>
  <dcterms:created xsi:type="dcterms:W3CDTF">2024-10-10T16:20:00Z</dcterms:created>
  <dcterms:modified xsi:type="dcterms:W3CDTF">2024-10-10T16:20:00Z</dcterms:modified>
</cp:coreProperties>
</file>