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A00D" w14:textId="77777777" w:rsidR="008F2C94" w:rsidRDefault="008F2C94" w:rsidP="008F2C94">
      <w:pPr>
        <w:pStyle w:val="a3"/>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6957"/>
      </w:tblGrid>
      <w:tr w:rsidR="00A4683E" w:rsidRPr="00A4683E" w14:paraId="0239FFBC" w14:textId="77777777" w:rsidTr="008F2C94">
        <w:trPr>
          <w:trHeight w:val="1252"/>
        </w:trPr>
        <w:tc>
          <w:tcPr>
            <w:tcW w:w="9740" w:type="dxa"/>
            <w:gridSpan w:val="2"/>
          </w:tcPr>
          <w:p w14:paraId="6148CD17" w14:textId="77777777" w:rsidR="00A4683E" w:rsidRPr="00A4683E" w:rsidRDefault="00A4683E" w:rsidP="002D3C48">
            <w:pPr>
              <w:jc w:val="center"/>
              <w:rPr>
                <w:rFonts w:ascii="Times New Roman" w:hAnsi="Times New Roman"/>
                <w:b/>
                <w:color w:val="1E0F1C"/>
                <w:sz w:val="30"/>
                <w:szCs w:val="30"/>
              </w:rPr>
            </w:pPr>
            <w:r w:rsidRPr="00A4683E">
              <w:rPr>
                <w:rFonts w:ascii="Times New Roman" w:hAnsi="Times New Roman"/>
                <w:b/>
                <w:bCs/>
                <w:sz w:val="30"/>
                <w:szCs w:val="30"/>
              </w:rPr>
              <w:t xml:space="preserve">Административная процедура </w:t>
            </w:r>
            <w:r w:rsidRPr="00A4683E">
              <w:rPr>
                <w:rFonts w:ascii="Times New Roman" w:hAnsi="Times New Roman"/>
                <w:b/>
                <w:sz w:val="30"/>
                <w:szCs w:val="30"/>
              </w:rPr>
              <w:t>8.13.2</w:t>
            </w:r>
          </w:p>
          <w:tbl>
            <w:tblPr>
              <w:tblW w:w="9524" w:type="dxa"/>
              <w:tblCellMar>
                <w:left w:w="0" w:type="dxa"/>
                <w:right w:w="0" w:type="dxa"/>
              </w:tblCellMar>
              <w:tblLook w:val="04A0" w:firstRow="1" w:lastRow="0" w:firstColumn="1" w:lastColumn="0" w:noHBand="0" w:noVBand="1"/>
            </w:tblPr>
            <w:tblGrid>
              <w:gridCol w:w="9492"/>
              <w:gridCol w:w="32"/>
            </w:tblGrid>
            <w:tr w:rsidR="00A4683E" w:rsidRPr="00A4683E" w14:paraId="0A593D8D" w14:textId="77777777" w:rsidTr="002D3C48">
              <w:trPr>
                <w:trHeight w:val="238"/>
              </w:trPr>
              <w:tc>
                <w:tcPr>
                  <w:tcW w:w="4983" w:type="pct"/>
                  <w:tcMar>
                    <w:top w:w="0" w:type="dxa"/>
                    <w:left w:w="6" w:type="dxa"/>
                    <w:bottom w:w="0" w:type="dxa"/>
                    <w:right w:w="6" w:type="dxa"/>
                  </w:tcMar>
                  <w:hideMark/>
                </w:tcPr>
                <w:p w14:paraId="40F0D84E" w14:textId="77777777" w:rsidR="00A4683E" w:rsidRPr="00A4683E" w:rsidRDefault="00A4683E" w:rsidP="002D3C48">
                  <w:pPr>
                    <w:spacing w:before="120" w:afterAutospacing="1"/>
                    <w:jc w:val="center"/>
                    <w:rPr>
                      <w:rFonts w:ascii="Times New Roman" w:hAnsi="Times New Roman"/>
                      <w:b/>
                      <w:sz w:val="30"/>
                      <w:szCs w:val="30"/>
                    </w:rPr>
                  </w:pPr>
                  <w:r w:rsidRPr="00A4683E">
                    <w:rPr>
                      <w:rFonts w:ascii="Times New Roman" w:hAnsi="Times New Roman"/>
                      <w:b/>
                      <w:sz w:val="30"/>
                      <w:szCs w:val="30"/>
                    </w:rPr>
                    <w:t>Продление действия разрешения на размещение средства наружной рекламы</w:t>
                  </w:r>
                </w:p>
              </w:tc>
              <w:tc>
                <w:tcPr>
                  <w:tcW w:w="17" w:type="pct"/>
                  <w:tcMar>
                    <w:top w:w="0" w:type="dxa"/>
                    <w:left w:w="6" w:type="dxa"/>
                    <w:bottom w:w="0" w:type="dxa"/>
                    <w:right w:w="6" w:type="dxa"/>
                  </w:tcMar>
                  <w:hideMark/>
                </w:tcPr>
                <w:p w14:paraId="72A6F6DC" w14:textId="77777777" w:rsidR="00A4683E" w:rsidRPr="00A4683E" w:rsidRDefault="00A4683E" w:rsidP="002D3C48">
                  <w:pPr>
                    <w:spacing w:before="120" w:afterAutospacing="1"/>
                    <w:jc w:val="center"/>
                    <w:rPr>
                      <w:rFonts w:ascii="Times New Roman" w:hAnsi="Times New Roman"/>
                      <w:sz w:val="30"/>
                      <w:szCs w:val="30"/>
                    </w:rPr>
                  </w:pPr>
                </w:p>
              </w:tc>
            </w:tr>
          </w:tbl>
          <w:p w14:paraId="1C9B05CB" w14:textId="77777777" w:rsidR="00A4683E" w:rsidRPr="00A4683E" w:rsidRDefault="00A4683E" w:rsidP="002D3C48">
            <w:pPr>
              <w:jc w:val="center"/>
              <w:rPr>
                <w:rFonts w:ascii="Times New Roman" w:hAnsi="Times New Roman"/>
                <w:b/>
                <w:bCs/>
                <w:sz w:val="30"/>
                <w:szCs w:val="30"/>
              </w:rPr>
            </w:pPr>
          </w:p>
        </w:tc>
      </w:tr>
      <w:tr w:rsidR="00A4683E" w:rsidRPr="00A4683E" w14:paraId="30D14A2C" w14:textId="77777777" w:rsidTr="008F2C94">
        <w:trPr>
          <w:trHeight w:val="1611"/>
        </w:trPr>
        <w:tc>
          <w:tcPr>
            <w:tcW w:w="2657" w:type="dxa"/>
            <w:tcMar>
              <w:left w:w="0" w:type="dxa"/>
              <w:right w:w="0" w:type="dxa"/>
            </w:tcMar>
          </w:tcPr>
          <w:p w14:paraId="0614919D"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t>Наименование структурного подразделения, выполняющего административную процедуру</w:t>
            </w:r>
          </w:p>
          <w:p w14:paraId="5E22DDFF" w14:textId="77777777" w:rsidR="00A4683E" w:rsidRPr="00A4683E" w:rsidRDefault="00A4683E" w:rsidP="002D3C48">
            <w:pPr>
              <w:spacing w:line="220" w:lineRule="exact"/>
              <w:rPr>
                <w:rFonts w:ascii="Times New Roman" w:hAnsi="Times New Roman"/>
                <w:b/>
                <w:bCs/>
                <w:sz w:val="26"/>
                <w:szCs w:val="26"/>
              </w:rPr>
            </w:pPr>
          </w:p>
        </w:tc>
        <w:tc>
          <w:tcPr>
            <w:tcW w:w="7083" w:type="dxa"/>
            <w:tcMar>
              <w:left w:w="0" w:type="dxa"/>
              <w:right w:w="0" w:type="dxa"/>
            </w:tcMar>
          </w:tcPr>
          <w:p w14:paraId="7AAB65AD" w14:textId="77777777" w:rsidR="00A4683E" w:rsidRPr="00A4683E" w:rsidRDefault="00A4683E" w:rsidP="002D3C48">
            <w:pPr>
              <w:spacing w:line="280" w:lineRule="exact"/>
              <w:rPr>
                <w:rFonts w:ascii="Times New Roman" w:hAnsi="Times New Roman"/>
                <w:sz w:val="24"/>
                <w:szCs w:val="24"/>
              </w:rPr>
            </w:pPr>
            <w:r w:rsidRPr="00A4683E">
              <w:rPr>
                <w:rFonts w:ascii="Times New Roman" w:hAnsi="Times New Roman"/>
                <w:sz w:val="24"/>
                <w:szCs w:val="24"/>
              </w:rPr>
              <w:t>Служба «одно окно»</w:t>
            </w:r>
          </w:p>
          <w:p w14:paraId="1C689DE7" w14:textId="77777777" w:rsidR="00A4683E" w:rsidRPr="00A4683E" w:rsidRDefault="00A4683E" w:rsidP="002D3C48">
            <w:pPr>
              <w:spacing w:line="280" w:lineRule="exact"/>
              <w:rPr>
                <w:rFonts w:ascii="Times New Roman" w:hAnsi="Times New Roman"/>
                <w:sz w:val="24"/>
                <w:szCs w:val="24"/>
              </w:rPr>
            </w:pPr>
            <w:r w:rsidRPr="00A4683E">
              <w:rPr>
                <w:rFonts w:ascii="Times New Roman" w:hAnsi="Times New Roman"/>
                <w:sz w:val="24"/>
                <w:szCs w:val="24"/>
              </w:rPr>
              <w:t>Вилейский районный исполнительный комитет</w:t>
            </w:r>
          </w:p>
          <w:p w14:paraId="747E6ABA" w14:textId="77777777" w:rsidR="00A4683E" w:rsidRPr="00A4683E" w:rsidRDefault="00A4683E" w:rsidP="002D3C48">
            <w:pPr>
              <w:spacing w:line="280" w:lineRule="exact"/>
              <w:rPr>
                <w:rFonts w:ascii="Times New Roman" w:hAnsi="Times New Roman"/>
                <w:sz w:val="24"/>
                <w:szCs w:val="24"/>
              </w:rPr>
            </w:pPr>
            <w:r w:rsidRPr="00A4683E">
              <w:rPr>
                <w:rFonts w:ascii="Times New Roman" w:hAnsi="Times New Roman"/>
                <w:sz w:val="24"/>
                <w:szCs w:val="24"/>
              </w:rPr>
              <w:t>(г. Вилейка, ул. Партизанская, 44)</w:t>
            </w:r>
          </w:p>
        </w:tc>
      </w:tr>
      <w:tr w:rsidR="00A4683E" w:rsidRPr="00A4683E" w14:paraId="2A2F26C5" w14:textId="77777777" w:rsidTr="008F2C94">
        <w:trPr>
          <w:trHeight w:val="1393"/>
        </w:trPr>
        <w:tc>
          <w:tcPr>
            <w:tcW w:w="2657" w:type="dxa"/>
            <w:tcMar>
              <w:left w:w="0" w:type="dxa"/>
              <w:right w:w="0" w:type="dxa"/>
            </w:tcMar>
          </w:tcPr>
          <w:p w14:paraId="68174356"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t>Документы и (или) сведения, представляемые заинтересованным лицом для осуществления административной процедуры</w:t>
            </w:r>
          </w:p>
        </w:tc>
        <w:tc>
          <w:tcPr>
            <w:tcW w:w="7083" w:type="dxa"/>
            <w:tcMar>
              <w:left w:w="0" w:type="dxa"/>
              <w:right w:w="0" w:type="dxa"/>
            </w:tcMar>
          </w:tcPr>
          <w:p w14:paraId="5F7F33C6"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14:paraId="2DF22499" w14:textId="77777777" w:rsidR="00A4683E" w:rsidRPr="00A4683E" w:rsidRDefault="00A4683E" w:rsidP="002D3C48">
            <w:pPr>
              <w:widowControl w:val="0"/>
              <w:rPr>
                <w:rFonts w:ascii="Times New Roman" w:hAnsi="Times New Roman"/>
                <w:sz w:val="24"/>
                <w:szCs w:val="24"/>
              </w:rPr>
            </w:pPr>
            <w:r w:rsidRPr="00A4683E">
              <w:rPr>
                <w:rFonts w:ascii="Times New Roman" w:hAnsi="Times New Roman"/>
                <w:sz w:val="24"/>
                <w:szCs w:val="24"/>
              </w:rPr>
              <w:t xml:space="preserve">    заявление на продление действия разрешения на размещение средства наружной рекламы;</w:t>
            </w:r>
          </w:p>
          <w:p w14:paraId="3D72CA1D"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 xml:space="preserve">    ранее выданное разрешение на размещение средства наружной рекламы;</w:t>
            </w:r>
          </w:p>
          <w:p w14:paraId="77C08DC7"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 xml:space="preserve">    фотография средства наружной рекламы в увязке с конкретной архитектурно-планировочной ситуацией по месту его размещения (существующее положение);</w:t>
            </w:r>
          </w:p>
          <w:p w14:paraId="310C03EE"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 xml:space="preserve">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14:paraId="34FF8605"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14:paraId="49C54F5F"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 xml:space="preserve">    заявление на продление действия разрешения на размещение средства наружной рекламы;</w:t>
            </w:r>
          </w:p>
          <w:p w14:paraId="3182DC62"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lastRenderedPageBreak/>
              <w:t xml:space="preserve">    эскиз средства наружной рекламы в увязке с конкретной архитектурно-планировочной ситуацией по месту его размещения;</w:t>
            </w:r>
          </w:p>
          <w:p w14:paraId="044D7286" w14:textId="77777777" w:rsidR="00A4683E" w:rsidRPr="00A4683E" w:rsidRDefault="00A4683E" w:rsidP="002D3C48">
            <w:pPr>
              <w:widowControl w:val="0"/>
              <w:jc w:val="both"/>
              <w:rPr>
                <w:rFonts w:ascii="Times New Roman" w:hAnsi="Times New Roman"/>
                <w:sz w:val="24"/>
                <w:szCs w:val="24"/>
              </w:rPr>
            </w:pPr>
            <w:r w:rsidRPr="00A4683E">
              <w:rPr>
                <w:rFonts w:ascii="Times New Roman" w:hAnsi="Times New Roman"/>
                <w:sz w:val="24"/>
                <w:szCs w:val="24"/>
              </w:rPr>
              <w:t xml:space="preserve">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tc>
      </w:tr>
      <w:tr w:rsidR="00A4683E" w:rsidRPr="00A4683E" w14:paraId="44A17426" w14:textId="77777777" w:rsidTr="008F2C94">
        <w:trPr>
          <w:trHeight w:val="1128"/>
        </w:trPr>
        <w:tc>
          <w:tcPr>
            <w:tcW w:w="2657" w:type="dxa"/>
            <w:tcMar>
              <w:left w:w="0" w:type="dxa"/>
              <w:right w:w="0" w:type="dxa"/>
            </w:tcMar>
          </w:tcPr>
          <w:p w14:paraId="6DEF0DDC"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lastRenderedPageBreak/>
              <w:t>Документы и (или) сведения, запрашиваемые государственным органом</w:t>
            </w:r>
            <w:r w:rsidRPr="00A4683E">
              <w:rPr>
                <w:rStyle w:val="aa"/>
                <w:rFonts w:ascii="Times New Roman" w:hAnsi="Times New Roman"/>
                <w:b/>
                <w:bCs/>
                <w:sz w:val="26"/>
                <w:szCs w:val="26"/>
              </w:rPr>
              <w:endnoteReference w:customMarkFollows="1" w:id="1"/>
              <w:sym w:font="Symbol" w:char="F02A"/>
            </w:r>
          </w:p>
          <w:p w14:paraId="06F396E7" w14:textId="77777777" w:rsidR="00A4683E" w:rsidRPr="00A4683E" w:rsidRDefault="00A4683E" w:rsidP="002D3C48">
            <w:pPr>
              <w:spacing w:line="220" w:lineRule="exact"/>
              <w:rPr>
                <w:rFonts w:ascii="Times New Roman" w:hAnsi="Times New Roman"/>
                <w:b/>
                <w:bCs/>
                <w:sz w:val="26"/>
                <w:szCs w:val="26"/>
              </w:rPr>
            </w:pPr>
          </w:p>
        </w:tc>
        <w:tc>
          <w:tcPr>
            <w:tcW w:w="7083" w:type="dxa"/>
            <w:tcMar>
              <w:left w:w="0" w:type="dxa"/>
              <w:right w:w="0" w:type="dxa"/>
            </w:tcMar>
          </w:tcPr>
          <w:p w14:paraId="49F0D7A3" w14:textId="77777777" w:rsidR="00A4683E" w:rsidRPr="00A4683E" w:rsidRDefault="00A4683E" w:rsidP="002D3C48">
            <w:pPr>
              <w:autoSpaceDE w:val="0"/>
              <w:autoSpaceDN w:val="0"/>
              <w:adjustRightInd w:val="0"/>
              <w:spacing w:after="240" w:line="240" w:lineRule="exact"/>
              <w:ind w:right="45"/>
              <w:jc w:val="both"/>
              <w:rPr>
                <w:rFonts w:ascii="Times New Roman" w:hAnsi="Times New Roman"/>
                <w:sz w:val="24"/>
                <w:szCs w:val="24"/>
              </w:rPr>
            </w:pPr>
            <w:r w:rsidRPr="00A4683E">
              <w:rPr>
                <w:rFonts w:ascii="Times New Roman" w:hAnsi="Times New Roman"/>
                <w:sz w:val="24"/>
                <w:szCs w:val="24"/>
              </w:rPr>
              <w:t xml:space="preserve">    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14:paraId="378D5923" w14:textId="77777777" w:rsidR="00A4683E" w:rsidRPr="00A4683E" w:rsidRDefault="00A4683E" w:rsidP="002D3C48">
            <w:pPr>
              <w:autoSpaceDE w:val="0"/>
              <w:autoSpaceDN w:val="0"/>
              <w:adjustRightInd w:val="0"/>
              <w:spacing w:after="240" w:line="240" w:lineRule="exact"/>
              <w:ind w:right="45"/>
              <w:jc w:val="both"/>
              <w:rPr>
                <w:rFonts w:ascii="Times New Roman" w:hAnsi="Times New Roman"/>
                <w:sz w:val="24"/>
                <w:szCs w:val="24"/>
                <w:lang w:val="be-BY"/>
              </w:rPr>
            </w:pPr>
            <w:r w:rsidRPr="00A4683E">
              <w:rPr>
                <w:rFonts w:ascii="Times New Roman" w:hAnsi="Times New Roman"/>
                <w:sz w:val="24"/>
                <w:szCs w:val="24"/>
              </w:rPr>
              <w:t xml:space="preserve">    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w:t>
            </w:r>
            <w:hyperlink r:id="rId7" w:anchor="a3" w:tooltip="+" w:history="1">
              <w:r w:rsidRPr="00A4683E">
                <w:rPr>
                  <w:rStyle w:val="a4"/>
                  <w:rFonts w:ascii="Times New Roman" w:hAnsi="Times New Roman"/>
                  <w:sz w:val="24"/>
                  <w:szCs w:val="24"/>
                </w:rPr>
                <w:t>приложении 1</w:t>
              </w:r>
            </w:hyperlink>
            <w:r w:rsidRPr="00A4683E">
              <w:rPr>
                <w:rFonts w:ascii="Times New Roman" w:hAnsi="Times New Roman"/>
                <w:sz w:val="24"/>
                <w:szCs w:val="24"/>
              </w:rPr>
              <w:t xml:space="preserve"> к постановлению Совета Министров Республики Беларусь от 7 июля 2021 г. № 395.</w:t>
            </w:r>
          </w:p>
        </w:tc>
      </w:tr>
      <w:tr w:rsidR="00A4683E" w:rsidRPr="00A4683E" w14:paraId="2B3CF591" w14:textId="77777777" w:rsidTr="008F2C94">
        <w:tc>
          <w:tcPr>
            <w:tcW w:w="2657" w:type="dxa"/>
            <w:tcMar>
              <w:left w:w="0" w:type="dxa"/>
              <w:right w:w="0" w:type="dxa"/>
            </w:tcMar>
          </w:tcPr>
          <w:p w14:paraId="00F1A6E2"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t>Размер платы, взимаемой при осуществлении административной процедуры</w:t>
            </w:r>
          </w:p>
        </w:tc>
        <w:tc>
          <w:tcPr>
            <w:tcW w:w="7083" w:type="dxa"/>
            <w:tcMar>
              <w:left w:w="0" w:type="dxa"/>
              <w:right w:w="0" w:type="dxa"/>
            </w:tcMar>
          </w:tcPr>
          <w:p w14:paraId="519BCDBE" w14:textId="77777777" w:rsidR="00A4683E" w:rsidRPr="00A4683E" w:rsidRDefault="00A4683E" w:rsidP="002D3C48">
            <w:pPr>
              <w:spacing w:before="120"/>
              <w:jc w:val="both"/>
              <w:rPr>
                <w:rFonts w:ascii="Times New Roman" w:hAnsi="Times New Roman"/>
                <w:sz w:val="24"/>
                <w:szCs w:val="24"/>
              </w:rPr>
            </w:pPr>
            <w:r w:rsidRPr="00A4683E">
              <w:rPr>
                <w:rFonts w:ascii="Times New Roman" w:hAnsi="Times New Roman"/>
                <w:color w:val="4B4E50"/>
                <w:sz w:val="24"/>
                <w:szCs w:val="24"/>
              </w:rPr>
              <w:t xml:space="preserve">информация об оплате – </w:t>
            </w:r>
            <w:hyperlink r:id="rId8" w:history="1">
              <w:r w:rsidRPr="00A4683E">
                <w:rPr>
                  <w:rStyle w:val="a4"/>
                  <w:rFonts w:ascii="Times New Roman" w:hAnsi="Times New Roman"/>
                  <w:sz w:val="24"/>
                  <w:szCs w:val="24"/>
                </w:rPr>
                <w:t>https://vileyka.gov.by/odno-okno/poryadok-podachi-zayavlenij</w:t>
              </w:r>
            </w:hyperlink>
          </w:p>
          <w:p w14:paraId="6130E137" w14:textId="77777777" w:rsidR="00A4683E" w:rsidRPr="00A4683E" w:rsidRDefault="00A4683E" w:rsidP="002D3C48">
            <w:pPr>
              <w:spacing w:before="120"/>
              <w:jc w:val="both"/>
              <w:rPr>
                <w:rFonts w:ascii="Times New Roman" w:hAnsi="Times New Roman"/>
                <w:sz w:val="24"/>
                <w:szCs w:val="24"/>
              </w:rPr>
            </w:pPr>
            <w:r w:rsidRPr="00A4683E">
              <w:rPr>
                <w:rFonts w:ascii="Times New Roman" w:hAnsi="Times New Roman"/>
                <w:sz w:val="24"/>
                <w:szCs w:val="24"/>
              </w:rPr>
              <w:t>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A4683E" w:rsidRPr="00A4683E" w14:paraId="16FC5C50" w14:textId="77777777" w:rsidTr="008F2C94">
        <w:tc>
          <w:tcPr>
            <w:tcW w:w="2657" w:type="dxa"/>
            <w:tcMar>
              <w:left w:w="0" w:type="dxa"/>
              <w:right w:w="0" w:type="dxa"/>
            </w:tcMar>
          </w:tcPr>
          <w:p w14:paraId="5CA57572"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t>Максимальный срок осуществления административной процедуры</w:t>
            </w:r>
          </w:p>
        </w:tc>
        <w:tc>
          <w:tcPr>
            <w:tcW w:w="7083" w:type="dxa"/>
            <w:tcMar>
              <w:left w:w="0" w:type="dxa"/>
              <w:right w:w="0" w:type="dxa"/>
            </w:tcMar>
          </w:tcPr>
          <w:p w14:paraId="529771FA" w14:textId="77777777" w:rsidR="00A4683E" w:rsidRPr="00A4683E" w:rsidRDefault="00A4683E" w:rsidP="002D3C48">
            <w:pPr>
              <w:spacing w:line="280" w:lineRule="exact"/>
              <w:jc w:val="both"/>
              <w:rPr>
                <w:rFonts w:ascii="Times New Roman" w:hAnsi="Times New Roman"/>
                <w:sz w:val="24"/>
                <w:szCs w:val="24"/>
              </w:rPr>
            </w:pPr>
            <w:r w:rsidRPr="00A4683E">
              <w:rPr>
                <w:rFonts w:ascii="Times New Roman" w:hAnsi="Times New Roman"/>
                <w:sz w:val="24"/>
                <w:szCs w:val="24"/>
              </w:rPr>
              <w:t>5 рабочих дней</w:t>
            </w:r>
          </w:p>
        </w:tc>
      </w:tr>
      <w:tr w:rsidR="00A4683E" w:rsidRPr="00A4683E" w14:paraId="23E8FAF9" w14:textId="77777777" w:rsidTr="008F2C94">
        <w:trPr>
          <w:trHeight w:val="1562"/>
        </w:trPr>
        <w:tc>
          <w:tcPr>
            <w:tcW w:w="2657" w:type="dxa"/>
            <w:tcMar>
              <w:left w:w="0" w:type="dxa"/>
              <w:right w:w="0" w:type="dxa"/>
            </w:tcMar>
          </w:tcPr>
          <w:p w14:paraId="6A6E3064" w14:textId="77777777" w:rsidR="00A4683E" w:rsidRPr="00A4683E" w:rsidRDefault="00A4683E" w:rsidP="002D3C48">
            <w:pPr>
              <w:spacing w:line="220" w:lineRule="exact"/>
              <w:rPr>
                <w:rFonts w:ascii="Times New Roman" w:hAnsi="Times New Roman"/>
                <w:b/>
                <w:bCs/>
                <w:sz w:val="26"/>
                <w:szCs w:val="26"/>
              </w:rPr>
            </w:pPr>
            <w:r w:rsidRPr="00A4683E">
              <w:rPr>
                <w:rFonts w:ascii="Times New Roman" w:hAnsi="Times New Roman"/>
                <w:b/>
                <w:bCs/>
                <w:sz w:val="26"/>
                <w:szCs w:val="26"/>
              </w:rPr>
              <w:t>Срок действия справки, другого документа (решения), выдаваемых (принимаемого) при осуществлении административной процедуры</w:t>
            </w:r>
          </w:p>
        </w:tc>
        <w:tc>
          <w:tcPr>
            <w:tcW w:w="7083" w:type="dxa"/>
            <w:tcMar>
              <w:left w:w="0" w:type="dxa"/>
              <w:right w:w="0" w:type="dxa"/>
            </w:tcMar>
          </w:tcPr>
          <w:p w14:paraId="20436989" w14:textId="77777777" w:rsidR="00A4683E" w:rsidRPr="00A4683E" w:rsidRDefault="00A4683E" w:rsidP="002D3C48">
            <w:pPr>
              <w:spacing w:line="280" w:lineRule="exact"/>
              <w:jc w:val="both"/>
              <w:rPr>
                <w:rFonts w:ascii="Times New Roman" w:hAnsi="Times New Roman"/>
                <w:sz w:val="24"/>
                <w:szCs w:val="24"/>
              </w:rPr>
            </w:pPr>
            <w:r w:rsidRPr="00A4683E">
              <w:rPr>
                <w:rFonts w:ascii="Times New Roman" w:hAnsi="Times New Roman"/>
                <w:sz w:val="24"/>
                <w:szCs w:val="24"/>
              </w:rPr>
              <w:t>не менее 7 лет – на мультимедийные рекламные конструкции, электронные табло;</w:t>
            </w:r>
          </w:p>
          <w:p w14:paraId="55347440" w14:textId="77777777" w:rsidR="00A4683E" w:rsidRPr="00A4683E" w:rsidRDefault="00A4683E" w:rsidP="002D3C48">
            <w:pPr>
              <w:spacing w:line="280" w:lineRule="exact"/>
              <w:jc w:val="both"/>
              <w:rPr>
                <w:rFonts w:ascii="Times New Roman" w:hAnsi="Times New Roman"/>
                <w:sz w:val="24"/>
                <w:szCs w:val="24"/>
              </w:rPr>
            </w:pPr>
            <w:r w:rsidRPr="00A4683E">
              <w:rPr>
                <w:rFonts w:ascii="Times New Roman" w:hAnsi="Times New Roman"/>
                <w:sz w:val="24"/>
                <w:szCs w:val="24"/>
              </w:rPr>
              <w:br/>
              <w:t xml:space="preserve">не менее 5 лет –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w:t>
            </w:r>
            <w:r w:rsidRPr="00A4683E">
              <w:rPr>
                <w:rFonts w:ascii="Times New Roman" w:hAnsi="Times New Roman"/>
                <w:sz w:val="24"/>
                <w:szCs w:val="24"/>
              </w:rPr>
              <w:lastRenderedPageBreak/>
              <w:t>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14:paraId="585CA007" w14:textId="77777777" w:rsidR="00A4683E" w:rsidRPr="00A4683E" w:rsidRDefault="00A4683E" w:rsidP="002D3C48">
            <w:pPr>
              <w:spacing w:line="280" w:lineRule="exact"/>
              <w:jc w:val="both"/>
              <w:rPr>
                <w:rFonts w:ascii="Times New Roman" w:hAnsi="Times New Roman"/>
                <w:sz w:val="24"/>
                <w:szCs w:val="24"/>
              </w:rPr>
            </w:pPr>
            <w:r w:rsidRPr="00A4683E">
              <w:rPr>
                <w:rFonts w:ascii="Times New Roman" w:hAnsi="Times New Roman"/>
                <w:sz w:val="24"/>
                <w:szCs w:val="24"/>
              </w:rPr>
              <w:br/>
              <w:t>не менее 3 лет –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14:paraId="74741225" w14:textId="77777777" w:rsidR="00A4683E" w:rsidRPr="00A4683E" w:rsidRDefault="00A4683E" w:rsidP="002D3C48">
            <w:pPr>
              <w:spacing w:line="280" w:lineRule="exact"/>
              <w:jc w:val="both"/>
              <w:rPr>
                <w:rFonts w:ascii="Times New Roman" w:hAnsi="Times New Roman"/>
                <w:sz w:val="24"/>
                <w:szCs w:val="24"/>
              </w:rPr>
            </w:pPr>
            <w:r w:rsidRPr="00A4683E">
              <w:rPr>
                <w:rFonts w:ascii="Times New Roman" w:hAnsi="Times New Roman"/>
                <w:sz w:val="24"/>
                <w:szCs w:val="24"/>
              </w:rP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sidRPr="00A4683E">
              <w:rPr>
                <w:rFonts w:ascii="Times New Roman" w:hAnsi="Times New Roman"/>
                <w:sz w:val="24"/>
                <w:szCs w:val="24"/>
              </w:rPr>
              <w:br/>
            </w:r>
            <w:r w:rsidRPr="00A4683E">
              <w:rPr>
                <w:rFonts w:ascii="Times New Roman" w:hAnsi="Times New Roman"/>
                <w:sz w:val="24"/>
                <w:szCs w:val="24"/>
              </w:rPr>
              <w:br/>
              <w:t>не менее 1 года, если иное не определено договором на размещение средства наружной рекламы, – на иные средства наружной рекламы.</w:t>
            </w:r>
          </w:p>
        </w:tc>
      </w:tr>
    </w:tbl>
    <w:p w14:paraId="3BF0DABB" w14:textId="77777777" w:rsidR="00A4683E" w:rsidRPr="00A4683E" w:rsidRDefault="00A4683E" w:rsidP="00F63ACA">
      <w:pPr>
        <w:rPr>
          <w:rFonts w:ascii="Times New Roman" w:hAnsi="Times New Roman"/>
        </w:rPr>
      </w:pPr>
    </w:p>
    <w:sectPr w:rsidR="00A4683E" w:rsidRPr="00A4683E">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0823" w14:textId="77777777" w:rsidR="00F10078" w:rsidRDefault="00F10078" w:rsidP="003033CB">
      <w:pPr>
        <w:spacing w:after="0" w:line="240" w:lineRule="auto"/>
      </w:pPr>
      <w:r>
        <w:separator/>
      </w:r>
    </w:p>
  </w:endnote>
  <w:endnote w:type="continuationSeparator" w:id="0">
    <w:p w14:paraId="4AC20254" w14:textId="77777777" w:rsidR="00F10078" w:rsidRDefault="00F10078" w:rsidP="003033CB">
      <w:pPr>
        <w:spacing w:after="0" w:line="240" w:lineRule="auto"/>
      </w:pPr>
      <w:r>
        <w:continuationSeparator/>
      </w:r>
    </w:p>
  </w:endnote>
  <w:endnote w:id="1">
    <w:p w14:paraId="393B2742" w14:textId="77777777" w:rsidR="00000000" w:rsidRDefault="00F10078" w:rsidP="00A4683E">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400E" w14:textId="77777777" w:rsidR="00F10078" w:rsidRDefault="00F10078" w:rsidP="003033CB">
      <w:pPr>
        <w:spacing w:after="0" w:line="240" w:lineRule="auto"/>
      </w:pPr>
      <w:r>
        <w:separator/>
      </w:r>
    </w:p>
  </w:footnote>
  <w:footnote w:type="continuationSeparator" w:id="0">
    <w:p w14:paraId="1791B093" w14:textId="77777777" w:rsidR="00F10078" w:rsidRDefault="00F10078" w:rsidP="00303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125"/>
    <w:multiLevelType w:val="hybridMultilevel"/>
    <w:tmpl w:val="198EA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46"/>
    <w:rsid w:val="00044E36"/>
    <w:rsid w:val="000B2730"/>
    <w:rsid w:val="000C0B91"/>
    <w:rsid w:val="00125D15"/>
    <w:rsid w:val="0014017B"/>
    <w:rsid w:val="001A21CE"/>
    <w:rsid w:val="001B2719"/>
    <w:rsid w:val="001C4A2F"/>
    <w:rsid w:val="00214778"/>
    <w:rsid w:val="00221649"/>
    <w:rsid w:val="00241032"/>
    <w:rsid w:val="00263FDA"/>
    <w:rsid w:val="002D3C48"/>
    <w:rsid w:val="003033CB"/>
    <w:rsid w:val="00310846"/>
    <w:rsid w:val="003B17A8"/>
    <w:rsid w:val="003B75FA"/>
    <w:rsid w:val="003C422A"/>
    <w:rsid w:val="003C4D14"/>
    <w:rsid w:val="003E47AF"/>
    <w:rsid w:val="003F67E9"/>
    <w:rsid w:val="00533B1D"/>
    <w:rsid w:val="005477A1"/>
    <w:rsid w:val="00555E21"/>
    <w:rsid w:val="00584DBC"/>
    <w:rsid w:val="005E0E49"/>
    <w:rsid w:val="006077D8"/>
    <w:rsid w:val="00614A7E"/>
    <w:rsid w:val="00676C25"/>
    <w:rsid w:val="006B1442"/>
    <w:rsid w:val="00747DE4"/>
    <w:rsid w:val="007728B1"/>
    <w:rsid w:val="008476B7"/>
    <w:rsid w:val="008657CD"/>
    <w:rsid w:val="00866917"/>
    <w:rsid w:val="008762DD"/>
    <w:rsid w:val="00884F3D"/>
    <w:rsid w:val="008A44E3"/>
    <w:rsid w:val="008F2C94"/>
    <w:rsid w:val="00913BCF"/>
    <w:rsid w:val="009B7E87"/>
    <w:rsid w:val="00A4683E"/>
    <w:rsid w:val="00AD5800"/>
    <w:rsid w:val="00AD7A99"/>
    <w:rsid w:val="00B23BCC"/>
    <w:rsid w:val="00C323CA"/>
    <w:rsid w:val="00C3486F"/>
    <w:rsid w:val="00D10EA0"/>
    <w:rsid w:val="00D247FF"/>
    <w:rsid w:val="00D57A0A"/>
    <w:rsid w:val="00DB08BE"/>
    <w:rsid w:val="00DB6C71"/>
    <w:rsid w:val="00E02AA7"/>
    <w:rsid w:val="00ED3768"/>
    <w:rsid w:val="00F07188"/>
    <w:rsid w:val="00F10078"/>
    <w:rsid w:val="00F46FA4"/>
    <w:rsid w:val="00F61429"/>
    <w:rsid w:val="00F63ACA"/>
    <w:rsid w:val="00F67D77"/>
    <w:rsid w:val="00F83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0148D"/>
  <w14:defaultImageDpi w14:val="0"/>
  <w15:docId w15:val="{387C069C-4C3D-4D73-A5E2-0EAB90D7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BCC"/>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rsid w:val="00B23BCC"/>
    <w:rPr>
      <w:rFonts w:cs="Times New Roman"/>
      <w:color w:val="0000FF" w:themeColor="hyperlink"/>
      <w:u w:val="single"/>
    </w:rPr>
  </w:style>
  <w:style w:type="paragraph" w:styleId="a5">
    <w:name w:val="Body Text Indent"/>
    <w:basedOn w:val="a"/>
    <w:link w:val="a6"/>
    <w:uiPriority w:val="99"/>
    <w:rsid w:val="00D57A0A"/>
    <w:pPr>
      <w:spacing w:after="0" w:line="360" w:lineRule="auto"/>
      <w:ind w:firstLine="567"/>
      <w:jc w:val="both"/>
    </w:pPr>
    <w:rPr>
      <w:rFonts w:ascii="Times New Roman" w:hAnsi="Times New Roman"/>
      <w:sz w:val="24"/>
      <w:szCs w:val="20"/>
    </w:rPr>
  </w:style>
  <w:style w:type="character" w:customStyle="1" w:styleId="a6">
    <w:name w:val="Основной текст с отступом Знак"/>
    <w:basedOn w:val="a0"/>
    <w:link w:val="a5"/>
    <w:uiPriority w:val="99"/>
    <w:locked/>
    <w:rsid w:val="00D57A0A"/>
    <w:rPr>
      <w:rFonts w:ascii="Times New Roman" w:hAnsi="Times New Roman" w:cs="Times New Roman"/>
      <w:sz w:val="20"/>
      <w:szCs w:val="20"/>
    </w:rPr>
  </w:style>
  <w:style w:type="paragraph" w:customStyle="1" w:styleId="table10">
    <w:name w:val="table10"/>
    <w:basedOn w:val="a"/>
    <w:rsid w:val="003C4D14"/>
    <w:pPr>
      <w:spacing w:after="0" w:line="240" w:lineRule="auto"/>
    </w:pPr>
    <w:rPr>
      <w:rFonts w:ascii="Times New Roman" w:hAnsi="Times New Roman"/>
      <w:sz w:val="20"/>
      <w:szCs w:val="20"/>
    </w:rPr>
  </w:style>
  <w:style w:type="paragraph" w:styleId="a7">
    <w:name w:val="endnote text"/>
    <w:basedOn w:val="a"/>
    <w:link w:val="a8"/>
    <w:uiPriority w:val="99"/>
    <w:unhideWhenUsed/>
    <w:rsid w:val="005477A1"/>
    <w:pPr>
      <w:spacing w:after="0" w:line="240" w:lineRule="auto"/>
    </w:pPr>
    <w:rPr>
      <w:rFonts w:ascii="Times New Roman" w:hAnsi="Times New Roman"/>
      <w:color w:val="000000"/>
      <w:sz w:val="20"/>
      <w:szCs w:val="20"/>
    </w:rPr>
  </w:style>
  <w:style w:type="character" w:customStyle="1" w:styleId="a8">
    <w:name w:val="Текст концевой сноски Знак"/>
    <w:basedOn w:val="a0"/>
    <w:link w:val="a7"/>
    <w:uiPriority w:val="99"/>
    <w:locked/>
    <w:rsid w:val="005477A1"/>
    <w:rPr>
      <w:rFonts w:ascii="Times New Roman" w:hAnsi="Times New Roman" w:cs="Times New Roman"/>
      <w:color w:val="000000"/>
      <w:sz w:val="20"/>
      <w:szCs w:val="20"/>
    </w:rPr>
  </w:style>
  <w:style w:type="character" w:styleId="a9">
    <w:name w:val="Strong"/>
    <w:basedOn w:val="a0"/>
    <w:uiPriority w:val="22"/>
    <w:qFormat/>
    <w:rsid w:val="001B2719"/>
    <w:rPr>
      <w:rFonts w:cs="Times New Roman"/>
      <w:b/>
    </w:rPr>
  </w:style>
  <w:style w:type="character" w:styleId="aa">
    <w:name w:val="endnote reference"/>
    <w:basedOn w:val="a0"/>
    <w:uiPriority w:val="99"/>
    <w:rsid w:val="00A4683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990464">
      <w:marLeft w:val="0"/>
      <w:marRight w:val="0"/>
      <w:marTop w:val="0"/>
      <w:marBottom w:val="0"/>
      <w:divBdr>
        <w:top w:val="none" w:sz="0" w:space="0" w:color="auto"/>
        <w:left w:val="none" w:sz="0" w:space="0" w:color="auto"/>
        <w:bottom w:val="none" w:sz="0" w:space="0" w:color="auto"/>
        <w:right w:val="none" w:sz="0" w:space="0" w:color="auto"/>
      </w:divBdr>
    </w:div>
    <w:div w:id="2121990465">
      <w:marLeft w:val="0"/>
      <w:marRight w:val="0"/>
      <w:marTop w:val="0"/>
      <w:marBottom w:val="0"/>
      <w:divBdr>
        <w:top w:val="none" w:sz="0" w:space="0" w:color="auto"/>
        <w:left w:val="none" w:sz="0" w:space="0" w:color="auto"/>
        <w:bottom w:val="none" w:sz="0" w:space="0" w:color="auto"/>
        <w:right w:val="none" w:sz="0" w:space="0" w:color="auto"/>
      </w:divBdr>
    </w:div>
    <w:div w:id="2121990466">
      <w:marLeft w:val="0"/>
      <w:marRight w:val="0"/>
      <w:marTop w:val="0"/>
      <w:marBottom w:val="0"/>
      <w:divBdr>
        <w:top w:val="none" w:sz="0" w:space="0" w:color="auto"/>
        <w:left w:val="none" w:sz="0" w:space="0" w:color="auto"/>
        <w:bottom w:val="none" w:sz="0" w:space="0" w:color="auto"/>
        <w:right w:val="none" w:sz="0" w:space="0" w:color="auto"/>
      </w:divBdr>
    </w:div>
    <w:div w:id="2121990467">
      <w:marLeft w:val="0"/>
      <w:marRight w:val="0"/>
      <w:marTop w:val="0"/>
      <w:marBottom w:val="0"/>
      <w:divBdr>
        <w:top w:val="none" w:sz="0" w:space="0" w:color="auto"/>
        <w:left w:val="none" w:sz="0" w:space="0" w:color="auto"/>
        <w:bottom w:val="none" w:sz="0" w:space="0" w:color="auto"/>
        <w:right w:val="none" w:sz="0" w:space="0" w:color="auto"/>
      </w:divBdr>
    </w:div>
    <w:div w:id="2121990468">
      <w:marLeft w:val="0"/>
      <w:marRight w:val="0"/>
      <w:marTop w:val="0"/>
      <w:marBottom w:val="0"/>
      <w:divBdr>
        <w:top w:val="none" w:sz="0" w:space="0" w:color="auto"/>
        <w:left w:val="none" w:sz="0" w:space="0" w:color="auto"/>
        <w:bottom w:val="none" w:sz="0" w:space="0" w:color="auto"/>
        <w:right w:val="none" w:sz="0" w:space="0" w:color="auto"/>
      </w:divBdr>
    </w:div>
    <w:div w:id="2121990469">
      <w:marLeft w:val="0"/>
      <w:marRight w:val="0"/>
      <w:marTop w:val="0"/>
      <w:marBottom w:val="0"/>
      <w:divBdr>
        <w:top w:val="none" w:sz="0" w:space="0" w:color="auto"/>
        <w:left w:val="none" w:sz="0" w:space="0" w:color="auto"/>
        <w:bottom w:val="none" w:sz="0" w:space="0" w:color="auto"/>
        <w:right w:val="none" w:sz="0" w:space="0" w:color="auto"/>
      </w:divBdr>
    </w:div>
    <w:div w:id="2121990470">
      <w:marLeft w:val="0"/>
      <w:marRight w:val="0"/>
      <w:marTop w:val="0"/>
      <w:marBottom w:val="0"/>
      <w:divBdr>
        <w:top w:val="none" w:sz="0" w:space="0" w:color="auto"/>
        <w:left w:val="none" w:sz="0" w:space="0" w:color="auto"/>
        <w:bottom w:val="none" w:sz="0" w:space="0" w:color="auto"/>
        <w:right w:val="none" w:sz="0" w:space="0" w:color="auto"/>
      </w:divBdr>
    </w:div>
    <w:div w:id="2121990471">
      <w:marLeft w:val="0"/>
      <w:marRight w:val="0"/>
      <w:marTop w:val="0"/>
      <w:marBottom w:val="0"/>
      <w:divBdr>
        <w:top w:val="none" w:sz="0" w:space="0" w:color="auto"/>
        <w:left w:val="none" w:sz="0" w:space="0" w:color="auto"/>
        <w:bottom w:val="none" w:sz="0" w:space="0" w:color="auto"/>
        <w:right w:val="none" w:sz="0" w:space="0" w:color="auto"/>
      </w:divBdr>
    </w:div>
    <w:div w:id="2121990472">
      <w:marLeft w:val="0"/>
      <w:marRight w:val="0"/>
      <w:marTop w:val="0"/>
      <w:marBottom w:val="0"/>
      <w:divBdr>
        <w:top w:val="none" w:sz="0" w:space="0" w:color="auto"/>
        <w:left w:val="none" w:sz="0" w:space="0" w:color="auto"/>
        <w:bottom w:val="none" w:sz="0" w:space="0" w:color="auto"/>
        <w:right w:val="none" w:sz="0" w:space="0" w:color="auto"/>
      </w:divBdr>
    </w:div>
    <w:div w:id="2121990473">
      <w:marLeft w:val="0"/>
      <w:marRight w:val="0"/>
      <w:marTop w:val="0"/>
      <w:marBottom w:val="0"/>
      <w:divBdr>
        <w:top w:val="none" w:sz="0" w:space="0" w:color="auto"/>
        <w:left w:val="none" w:sz="0" w:space="0" w:color="auto"/>
        <w:bottom w:val="none" w:sz="0" w:space="0" w:color="auto"/>
        <w:right w:val="none" w:sz="0" w:space="0" w:color="auto"/>
      </w:divBdr>
    </w:div>
    <w:div w:id="2121990474">
      <w:marLeft w:val="0"/>
      <w:marRight w:val="0"/>
      <w:marTop w:val="0"/>
      <w:marBottom w:val="0"/>
      <w:divBdr>
        <w:top w:val="none" w:sz="0" w:space="0" w:color="auto"/>
        <w:left w:val="none" w:sz="0" w:space="0" w:color="auto"/>
        <w:bottom w:val="none" w:sz="0" w:space="0" w:color="auto"/>
        <w:right w:val="none" w:sz="0" w:space="0" w:color="auto"/>
      </w:divBdr>
    </w:div>
    <w:div w:id="2121990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eyka.gov.by/odno-okno/poryadok-podachi-zayavlenij" TargetMode="External"/><Relationship Id="rId3" Type="http://schemas.openxmlformats.org/officeDocument/2006/relationships/settings" Target="settings.xml"/><Relationship Id="rId7" Type="http://schemas.openxmlformats.org/officeDocument/2006/relationships/hyperlink" Target="https://bii.by/tx.dll?d=460672&amp;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Nick G</cp:lastModifiedBy>
  <cp:revision>2</cp:revision>
  <dcterms:created xsi:type="dcterms:W3CDTF">2024-10-10T16:26:00Z</dcterms:created>
  <dcterms:modified xsi:type="dcterms:W3CDTF">2024-10-10T16:26:00Z</dcterms:modified>
</cp:coreProperties>
</file>