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5763" w14:textId="77777777" w:rsidR="00E23EFC" w:rsidRPr="00E23EFC" w:rsidRDefault="00E23EFC" w:rsidP="00E23E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ВОПРОС</w:t>
      </w:r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br/>
        <w:t>«Является ли садоводческое товарищество энергоснабжающей организацией для его членов?».</w:t>
      </w:r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br/>
        <w:t>ОТВЕТ на вопрос:</w:t>
      </w:r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br/>
        <w:t>«В соответствии с подпунктом 1.1. пункта 1 Правил электроснабжения (далее - Правила), утвержденных постановлением Совета Министров Республики Беларусь от 17 октября 2011 г. № 1394 (далее- Постановление), настоящими Правилами, разработанными в соответствии с Гражданским кодексом Республики Беларусь, другими актами законодательства, определяется порядок взаимоотношений потребителей электрической энергии (мощности) с республиканскими унитарными предприятиями электроэнергетики «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Брестэнерго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», «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Витебскэнерго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», «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Гомельэнерго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», «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Гродноэнерго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», «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Минскэнерго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», «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Могилевэнерго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 xml:space="preserve">» и другими энергоснабжающими организациями по заключению, исполнению изменению, продлению и прекращению договоров электроснабжения, условиям снабжения и пользования электрической энергией, расчетам за электрическую энергию (мощность) и ответственности сторон. Согласно пункту 3 Постановления право давать разъяснения по применению Правил предоставлено Министерству энергетики. Согласно сформированной позиции Министерства энергетики, садоводческое товарищество (далее - СТ), осуществляя обеспечение (не продажу) электрической энергией садовых домов членов СТ, не подпадает под определение «энергоснабжающей организации» во взаимоотношениях с членами СТ. При этом формирование договорных отношений СТ, как юридическим лицом, с членами СТ законодательством в области электроснабжения не предусмотрено. Порядок расчетов членов СТ за потребленную электроэнергию определяется органами управления СТ с учетом требований пункта 205 Правил, согласно которому граждане - члены СТ осуществляют возмещение расходов СТ на электроснабжение садовых домиков, других электроприемников, в том числе объектов общего пользования (насос скважины, уличное освещение, освещение сторожки и т.д.), технологического расхода электрической энергии на ее транспортировку в электрических сетях садоводческих товариществ (отпайка от ВЛ-10 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кВ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 xml:space="preserve">, силовой трансформатор напряжением 10/0,4 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кВ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 xml:space="preserve">, ВЛ-0,4 </w:t>
      </w:r>
      <w:proofErr w:type="spellStart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кВ</w:t>
      </w:r>
      <w:proofErr w:type="spellEnd"/>
      <w:r w:rsidRPr="00E23EFC">
        <w:rPr>
          <w:rFonts w:ascii="Open Sans" w:eastAsia="Times New Roman" w:hAnsi="Open Sans" w:cs="Open Sans"/>
          <w:color w:val="495149"/>
          <w:sz w:val="27"/>
          <w:szCs w:val="27"/>
          <w:lang w:eastAsia="ru-RU"/>
        </w:rPr>
        <w:t>) в порядке, определенном законодательством, регулирующим деятельность садоводческих товариществ. Таким образом, порядок электроснабжения садовых домиков и расчетов членов СТ за потребленную электроэнергию не регулируется Правилами электроснабжения и иным законодательством в области электроснабжения. Данный порядок формируется органами управления СТ с учетом местных условий.»</w:t>
      </w:r>
      <w:r w:rsidRPr="00E23EFC">
        <w:rPr>
          <w:rFonts w:ascii="Calibri" w:eastAsia="Times New Roman" w:hAnsi="Calibri" w:cs="Calibri"/>
          <w:color w:val="FF0000"/>
          <w:sz w:val="28"/>
          <w:szCs w:val="28"/>
          <w:lang w:eastAsia="ru-RU"/>
        </w:rPr>
        <w:br/>
      </w:r>
    </w:p>
    <w:p w14:paraId="0A49BD58" w14:textId="77777777" w:rsidR="0044619B" w:rsidRDefault="0044619B"/>
    <w:sectPr w:rsidR="0044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F5"/>
    <w:rsid w:val="0044619B"/>
    <w:rsid w:val="00E23EFC"/>
    <w:rsid w:val="00F1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C8A9E-3121-484A-9017-C6A3A0E0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2026-05-07T12:02:00Z</dcterms:created>
  <dcterms:modified xsi:type="dcterms:W3CDTF">2026-05-07T12:02:00Z</dcterms:modified>
</cp:coreProperties>
</file>