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1160" w:type="dxa"/>
        <w:jc w:val="left"/>
        <w:tblInd w:w="-36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54"/>
        <w:gridCol w:w="8405"/>
      </w:tblGrid>
      <w:tr>
        <w:trPr/>
        <w:tc>
          <w:tcPr>
            <w:tcW w:w="11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b/>
                <w:bCs/>
                <w:sz w:val="30"/>
                <w:szCs w:val="30"/>
              </w:rPr>
              <w:t>Административная процедура № 4.3</w:t>
            </w:r>
          </w:p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b/>
                <w:bCs/>
                <w:sz w:val="30"/>
                <w:szCs w:val="30"/>
              </w:rPr>
              <w:t>«Принятие решения об установлении опеки (попечительства) над совершеннолетним  и назначении опекуна (попечителя)»</w:t>
            </w:r>
          </w:p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</w:r>
          </w:p>
        </w:tc>
      </w:tr>
      <w:tr>
        <w:trPr/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tabs>
                <w:tab w:val="clear" w:pos="708"/>
              </w:tabs>
              <w:bidi w:val="0"/>
              <w:spacing w:lineRule="exact" w:line="220"/>
              <w:ind w:left="0" w:right="0" w:hanging="0"/>
              <w:rPr/>
            </w:pPr>
            <w:r>
              <w:rPr>
                <w:b/>
                <w:bCs/>
                <w:sz w:val="26"/>
                <w:szCs w:val="26"/>
              </w:rPr>
              <w:t>Наименование структурного подразделения, выполняющего административную процедуру</w:t>
            </w:r>
          </w:p>
          <w:p>
            <w:pPr>
              <w:pStyle w:val="Normal"/>
              <w:tabs>
                <w:tab w:val="clear" w:pos="708"/>
              </w:tabs>
              <w:bidi w:val="0"/>
              <w:spacing w:lineRule="exact" w:line="220"/>
              <w:ind w:left="0" w:right="0" w:hanging="0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</w:tc>
        <w:tc>
          <w:tcPr>
            <w:tcW w:w="8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tabs>
                <w:tab w:val="clear" w:pos="708"/>
              </w:tabs>
              <w:bidi w:val="0"/>
              <w:spacing w:lineRule="exact" w:line="280"/>
              <w:ind w:left="0" w:right="0" w:hanging="0"/>
              <w:rPr/>
            </w:pPr>
            <w:r>
              <w:rPr>
                <w:sz w:val="26"/>
                <w:szCs w:val="26"/>
              </w:rPr>
              <w:t>Служба «одно окно»</w:t>
            </w:r>
          </w:p>
          <w:p>
            <w:pPr>
              <w:pStyle w:val="Normal"/>
              <w:tabs>
                <w:tab w:val="clear" w:pos="708"/>
              </w:tabs>
              <w:bidi w:val="0"/>
              <w:spacing w:lineRule="exact" w:line="280"/>
              <w:ind w:left="0" w:right="0" w:hanging="0"/>
              <w:rPr/>
            </w:pPr>
            <w:r>
              <w:rPr>
                <w:sz w:val="26"/>
                <w:szCs w:val="26"/>
              </w:rPr>
              <w:t>Вилейский районный исполнительный комитет</w:t>
            </w:r>
          </w:p>
          <w:p>
            <w:pPr>
              <w:pStyle w:val="Normal"/>
              <w:tabs>
                <w:tab w:val="clear" w:pos="708"/>
              </w:tabs>
              <w:bidi w:val="0"/>
              <w:spacing w:lineRule="exact" w:line="280"/>
              <w:ind w:left="0" w:right="0" w:hanging="0"/>
              <w:rPr/>
            </w:pPr>
            <w:r>
              <w:rPr>
                <w:sz w:val="26"/>
                <w:szCs w:val="26"/>
              </w:rPr>
              <w:t>(г. Вилейка, ул. Партизанская, 44)</w:t>
            </w:r>
          </w:p>
        </w:tc>
      </w:tr>
      <w:tr>
        <w:trPr/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bidi w:val="0"/>
              <w:spacing w:lineRule="exact" w:line="220"/>
              <w:ind w:left="0" w:right="0" w:hanging="0"/>
              <w:rPr/>
            </w:pPr>
            <w:r>
              <w:rPr>
                <w:b/>
                <w:bCs/>
                <w:sz w:val="26"/>
                <w:szCs w:val="26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8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bidi w:val="0"/>
              <w:spacing w:lineRule="exact" w:line="280"/>
              <w:ind w:left="0" w:right="0" w:hanging="0"/>
              <w:rPr/>
            </w:pP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заявление</w:t>
            </w:r>
            <w:r>
              <w:rPr/>
              <w:br/>
              <w:br/>
            </w:r>
            <w:r>
              <w:rPr>
                <w:sz w:val="26"/>
                <w:szCs w:val="26"/>
              </w:rPr>
              <w:t>паспорт или иной документ, удостоверяющий личность кандидата в опекуны (попечители)</w:t>
            </w:r>
            <w:r>
              <w:rPr/>
              <w:br/>
              <w:br/>
            </w:r>
            <w:r>
              <w:rPr>
                <w:sz w:val="26"/>
                <w:szCs w:val="26"/>
              </w:rPr>
              <w:t>автобиография кандидата в опекуны (попечители)</w:t>
            </w:r>
            <w:r>
              <w:rPr/>
              <w:br/>
              <w:br/>
            </w:r>
            <w:r>
              <w:rPr>
                <w:sz w:val="26"/>
                <w:szCs w:val="26"/>
              </w:rPr>
              <w:t>одна фотография заявителя размером 30 х 40 мм</w:t>
            </w:r>
            <w:r>
              <w:rPr/>
              <w:br/>
              <w:br/>
            </w:r>
            <w:r>
              <w:rPr>
                <w:sz w:val="26"/>
                <w:szCs w:val="26"/>
              </w:rPr>
              <w:t>медицинская справка о состоянии здоровья кандидата в опекуны (попечители)</w:t>
            </w:r>
            <w:r>
              <w:rPr/>
              <w:br/>
              <w:br/>
            </w:r>
            <w:r>
              <w:rPr>
                <w:sz w:val="26"/>
                <w:szCs w:val="26"/>
              </w:rPr>
              <w:t>документ, подтверждающий наличие основания назначения опеки (попечительства)</w:t>
            </w:r>
          </w:p>
        </w:tc>
      </w:tr>
      <w:tr>
        <w:trPr/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bidi w:val="0"/>
              <w:spacing w:lineRule="exact" w:line="220"/>
              <w:ind w:left="0" w:right="0" w:hanging="0"/>
              <w:rPr/>
            </w:pPr>
            <w:r>
              <w:rPr>
                <w:b/>
                <w:bCs/>
                <w:sz w:val="26"/>
                <w:szCs w:val="26"/>
              </w:rPr>
              <w:t>Документы и (или) сведения, запрашиваемые государственным органом</w:t>
            </w:r>
          </w:p>
          <w:p>
            <w:pPr>
              <w:pStyle w:val="Normal"/>
              <w:bidi w:val="0"/>
              <w:spacing w:lineRule="exact" w:line="220"/>
              <w:ind w:left="0" w:right="0" w:hanging="0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</w:tc>
        <w:tc>
          <w:tcPr>
            <w:tcW w:w="8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bidi w:val="0"/>
              <w:spacing w:lineRule="exact" w:line="240" w:before="0" w:after="180"/>
              <w:ind w:left="57" w:right="44" w:hanging="0"/>
              <w:jc w:val="both"/>
              <w:rPr/>
            </w:pP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справка о месте жительства и составе семьи кандидата в опекуны (попечители) или копия лицевого счета</w:t>
            </w:r>
          </w:p>
          <w:p>
            <w:pPr>
              <w:pStyle w:val="Normal"/>
              <w:bidi w:val="0"/>
              <w:spacing w:lineRule="exact" w:line="240" w:before="0" w:after="180"/>
              <w:ind w:left="57" w:right="44" w:hanging="0"/>
              <w:jc w:val="both"/>
              <w:rPr/>
            </w:pPr>
            <w:r>
              <w:rPr>
                <w:sz w:val="26"/>
                <w:szCs w:val="26"/>
              </w:rPr>
              <w:t xml:space="preserve">сведения о том, имеет ли кандидат в опекуны (попечители) судимость за умышленные преступления или осуждался ли за умышленные тяжкие или особо тяжкие преступления против человека </w:t>
            </w:r>
          </w:p>
          <w:p>
            <w:pPr>
              <w:pStyle w:val="Normal"/>
              <w:bidi w:val="0"/>
              <w:spacing w:lineRule="exact" w:line="240" w:before="0" w:after="180"/>
              <w:ind w:left="57" w:right="45" w:hanging="0"/>
              <w:jc w:val="both"/>
              <w:rPr/>
            </w:pPr>
            <w:r>
              <w:rPr>
                <w:sz w:val="26"/>
                <w:szCs w:val="26"/>
              </w:rPr>
              <w:t>сведения о том, лишался ли кандидат в опекуны (попечители) родительских прав, было ли ранее в отношении него отменено усыновление (удочерение)</w:t>
            </w:r>
          </w:p>
          <w:p>
            <w:pPr>
              <w:pStyle w:val="Normal"/>
              <w:bidi w:val="0"/>
              <w:spacing w:lineRule="exact" w:line="280"/>
              <w:ind w:left="0" w:right="0" w:hanging="0"/>
              <w:rPr/>
            </w:pPr>
            <w:r>
              <w:rPr>
                <w:sz w:val="26"/>
                <w:szCs w:val="26"/>
              </w:rPr>
              <w:t>сведения о том, признавались ли дети кандидата в опекуны (попечители) нуждающимися в государственной защите, отстранялся ли кандидат в опекуны (попечители) от обязанностей опекуна (попечителя) за ненадлежащее выполнение возложенных на него обязанностей (при необходимости)</w:t>
            </w:r>
          </w:p>
        </w:tc>
      </w:tr>
      <w:tr>
        <w:trPr/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bidi w:val="0"/>
              <w:spacing w:lineRule="exact" w:line="220"/>
              <w:ind w:left="0" w:right="0" w:hanging="0"/>
              <w:rPr/>
            </w:pPr>
            <w:r>
              <w:rPr>
                <w:b/>
                <w:bCs/>
                <w:sz w:val="26"/>
                <w:szCs w:val="26"/>
              </w:rPr>
              <w:t>Размер платы, взимаемой при осуществлении административной процедуры</w:t>
            </w:r>
          </w:p>
          <w:p>
            <w:pPr>
              <w:pStyle w:val="Normal"/>
              <w:bidi w:val="0"/>
              <w:spacing w:lineRule="exact" w:line="220"/>
              <w:ind w:left="0" w:right="0" w:hanging="0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</w:tc>
        <w:tc>
          <w:tcPr>
            <w:tcW w:w="8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bidi w:val="0"/>
              <w:spacing w:lineRule="exact" w:line="280"/>
              <w:ind w:left="0" w:right="0" w:hanging="0"/>
              <w:rPr/>
            </w:pPr>
            <w:r>
              <w:rPr>
                <w:sz w:val="26"/>
                <w:szCs w:val="26"/>
              </w:rPr>
              <w:t xml:space="preserve">бесплатно </w:t>
            </w:r>
          </w:p>
        </w:tc>
      </w:tr>
      <w:tr>
        <w:trPr/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bidi w:val="0"/>
              <w:spacing w:lineRule="exact" w:line="220"/>
              <w:ind w:left="0" w:right="0" w:hanging="0"/>
              <w:rPr/>
            </w:pPr>
            <w:r>
              <w:rPr>
                <w:b/>
                <w:bCs/>
                <w:sz w:val="26"/>
                <w:szCs w:val="26"/>
              </w:rPr>
              <w:t>Максимальный срок осуществления административной процедуры</w:t>
            </w:r>
          </w:p>
          <w:p>
            <w:pPr>
              <w:pStyle w:val="Normal"/>
              <w:bidi w:val="0"/>
              <w:spacing w:lineRule="exact" w:line="220"/>
              <w:ind w:left="0" w:right="0" w:hanging="0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</w:tc>
        <w:tc>
          <w:tcPr>
            <w:tcW w:w="8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bidi w:val="0"/>
              <w:spacing w:lineRule="exact" w:line="280"/>
              <w:ind w:left="0" w:right="0" w:hanging="0"/>
              <w:rPr/>
            </w:pPr>
            <w:r>
              <w:rPr>
                <w:sz w:val="26"/>
                <w:szCs w:val="26"/>
              </w:rPr>
              <w:t>15 дней , а в случае запроса документов и (или) сведений от других государственных органов, иных организаций - 1 месяц</w:t>
            </w:r>
          </w:p>
        </w:tc>
      </w:tr>
      <w:tr>
        <w:trPr/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bidi w:val="0"/>
              <w:spacing w:lineRule="exact" w:line="220"/>
              <w:ind w:left="0" w:right="0" w:hanging="0"/>
              <w:rPr/>
            </w:pPr>
            <w:r>
              <w:rPr>
                <w:b/>
                <w:bCs/>
                <w:sz w:val="26"/>
                <w:szCs w:val="26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  <w:p>
            <w:pPr>
              <w:pStyle w:val="Normal"/>
              <w:bidi w:val="0"/>
              <w:spacing w:lineRule="exact" w:line="220"/>
              <w:ind w:left="0" w:right="0" w:hanging="0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</w:tc>
        <w:tc>
          <w:tcPr>
            <w:tcW w:w="8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bidi w:val="0"/>
              <w:spacing w:lineRule="exact" w:line="280"/>
              <w:ind w:left="0" w:right="0" w:hanging="0"/>
              <w:rPr/>
            </w:pPr>
            <w:r>
              <w:rPr>
                <w:sz w:val="26"/>
                <w:szCs w:val="26"/>
              </w:rPr>
              <w:t>бессрочно</w:t>
            </w:r>
          </w:p>
        </w:tc>
      </w:tr>
    </w:tbl>
    <w:p>
      <w:pPr>
        <w:pStyle w:val="Normal"/>
        <w:bidi w:val="0"/>
        <w:ind w:left="0" w:right="0" w:hanging="0"/>
        <w:rPr>
          <w:rFonts w:ascii="Times New Roman" w:hAnsi="Times New Roman"/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bidi w:val="0"/>
        <w:ind w:left="0" w:right="0" w:hanging="0"/>
        <w:rPr>
          <w:rFonts w:ascii="Times New Roman" w:hAnsi="Times New Roman"/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bidi w:val="0"/>
        <w:ind w:left="0" w:right="0" w:hanging="0"/>
        <w:rPr>
          <w:rFonts w:ascii="Times New Roman" w:hAnsi="Times New Roman"/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bidi w:val="0"/>
        <w:ind w:left="0" w:right="0" w:hanging="0"/>
        <w:rPr>
          <w:rFonts w:ascii="Times New Roman" w:hAnsi="Times New Roman"/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bidi w:val="0"/>
        <w:ind w:left="0" w:right="0" w:hanging="0"/>
        <w:rPr>
          <w:rFonts w:ascii="Times New Roman" w:hAnsi="Times New Roman"/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bidi w:val="0"/>
        <w:ind w:left="0" w:right="0" w:hanging="0"/>
        <w:rPr>
          <w:rFonts w:ascii="Times New Roman" w:hAnsi="Times New Roman"/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bidi w:val="0"/>
        <w:ind w:left="0" w:right="0" w:hanging="0"/>
        <w:rPr>
          <w:rFonts w:ascii="Times New Roman" w:hAnsi="Times New Roman"/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bidi w:val="0"/>
        <w:ind w:left="0" w:right="0" w:hanging="0"/>
        <w:rPr>
          <w:rFonts w:ascii="Times New Roman" w:hAnsi="Times New Roman"/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bidi w:val="0"/>
        <w:ind w:left="0" w:right="0" w:hanging="0"/>
        <w:rPr/>
      </w:pPr>
      <w:r>
        <w:rPr/>
      </w:r>
    </w:p>
    <w:sectPr>
      <w:type w:val="nextPage"/>
      <w:pgSz w:w="11906" w:h="16838"/>
      <w:pgMar w:left="720" w:right="386" w:header="0" w:top="360" w:footer="0" w:bottom="36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libri Light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SC Regular" w:cs="Noto Sans Devanagari"/>
        <w:kern w:val="2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false"/>
      <w:bidi w:val="0"/>
      <w:jc w:val="left"/>
      <w:textAlignment w:val="auto"/>
    </w:pPr>
    <w:rPr>
      <w:rFonts w:ascii="Times New Roman" w:hAnsi="Times New Roman" w:eastAsia="Cambria Math" w:cs="Times New Roman"/>
      <w:color w:val="000000"/>
      <w:kern w:val="2"/>
      <w:sz w:val="22"/>
      <w:szCs w:val="22"/>
      <w:lang w:val="ru-RU" w:eastAsia="ru-RU" w:bidi="ar-SA"/>
    </w:rPr>
  </w:style>
  <w:style w:type="character" w:styleId="DefaultParagraphFont">
    <w:name w:val="Default Paragraph Font"/>
    <w:qFormat/>
    <w:rPr/>
  </w:style>
  <w:style w:type="character" w:styleId="Style14">
    <w:name w:val="Текст концевой сноски Знак"/>
    <w:basedOn w:val="DefaultParagraphFont"/>
    <w:qFormat/>
    <w:rPr>
      <w:sz w:val="20"/>
      <w:szCs w:val="20"/>
    </w:rPr>
  </w:style>
  <w:style w:type="character" w:styleId="EndnoteCharacters">
    <w:name w:val="Endnote Characters"/>
    <w:basedOn w:val="DefaultParagraphFont"/>
    <w:qFormat/>
    <w:rPr>
      <w:vertAlign w:val="superscript"/>
    </w:rPr>
  </w:style>
  <w:style w:type="character" w:styleId="EndnoteAnchor">
    <w:name w:val="Endnote Anchor"/>
    <w:rPr>
      <w:vertAlign w:val="superscript"/>
    </w:rPr>
  </w:style>
  <w:style w:type="character" w:styleId="Table10">
    <w:name w:val="table10 Знак"/>
    <w:basedOn w:val="DefaultParagraphFont"/>
    <w:qFormat/>
    <w:rPr/>
  </w:style>
  <w:style w:type="character" w:styleId="Datepr">
    <w:name w:val="datepr"/>
    <w:basedOn w:val="DefaultParagraphFont"/>
    <w:qFormat/>
    <w:rPr>
      <w:rFonts w:ascii="Times New Roman" w:hAnsi="Times New Roman"/>
    </w:rPr>
  </w:style>
  <w:style w:type="character" w:styleId="Number">
    <w:name w:val="number"/>
    <w:basedOn w:val="DefaultParagraphFont"/>
    <w:qFormat/>
    <w:rPr>
      <w:rFonts w:ascii="Times New Roman" w:hAnsi="Times New Roman"/>
    </w:rPr>
  </w:style>
  <w:style w:type="character" w:styleId="Style15">
    <w:name w:val="Заголовок Знак"/>
    <w:basedOn w:val="DefaultParagraphFont"/>
    <w:qFormat/>
    <w:rPr>
      <w:rFonts w:ascii="Calibri Light" w:hAnsi="Calibri Light" w:eastAsia="Times New Roman" w:cs="Calibri Light"/>
      <w:b/>
      <w:bCs/>
      <w:kern w:val="2"/>
      <w:sz w:val="32"/>
      <w:szCs w:val="32"/>
    </w:rPr>
  </w:style>
  <w:style w:type="character" w:styleId="Name">
    <w:name w:val="name"/>
    <w:basedOn w:val="DefaultParagraphFont"/>
    <w:qFormat/>
    <w:rPr>
      <w:rFonts w:ascii="Times New Roman" w:hAnsi="Times New Roman"/>
      <w:caps/>
    </w:rPr>
  </w:style>
  <w:style w:type="character" w:styleId="Promulgator">
    <w:name w:val="promulgator"/>
    <w:basedOn w:val="DefaultParagraphFont"/>
    <w:qFormat/>
    <w:rPr>
      <w:rFonts w:ascii="Times New Roman" w:hAnsi="Times New Roman"/>
      <w:caps/>
    </w:rPr>
  </w:style>
  <w:style w:type="character" w:styleId="Newncpi">
    <w:name w:val="newncpi Знак"/>
    <w:basedOn w:val="DefaultParagraphFont"/>
    <w:qFormat/>
    <w:rPr>
      <w:sz w:val="24"/>
      <w:szCs w:val="24"/>
    </w:rPr>
  </w:style>
  <w:style w:type="character" w:styleId="Style16">
    <w:name w:val="Текст выноски Знак"/>
    <w:basedOn w:val="DefaultParagraphFont"/>
    <w:qFormat/>
    <w:rPr>
      <w:rFonts w:ascii="Segoe UI" w:hAnsi="Segoe UI" w:cs="Segoe UI"/>
      <w:sz w:val="18"/>
      <w:szCs w:val="1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SC Regular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paragraph" w:styleId="NormalTable">
    <w:name w:val="Normal Table"/>
    <w:qFormat/>
    <w:pPr>
      <w:widowControl/>
      <w:bidi w:val="0"/>
      <w:spacing w:lineRule="auto" w:line="256" w:before="0" w:after="160"/>
      <w:jc w:val="left"/>
      <w:textAlignment w:val="auto"/>
    </w:pPr>
    <w:rPr>
      <w:rFonts w:ascii="Times New Roman" w:hAnsi="Times New Roman" w:eastAsia="Cambria Math" w:cs="Times New Roman"/>
      <w:color w:val="auto"/>
      <w:kern w:val="2"/>
      <w:sz w:val="22"/>
      <w:szCs w:val="22"/>
      <w:lang w:val="ru-RU" w:eastAsia="ru-RU" w:bidi="ar-SA"/>
    </w:rPr>
  </w:style>
  <w:style w:type="paragraph" w:styleId="Table101">
    <w:name w:val="table10"/>
    <w:basedOn w:val="Normal"/>
    <w:qFormat/>
    <w:pPr/>
    <w:rPr>
      <w:sz w:val="20"/>
      <w:szCs w:val="20"/>
    </w:rPr>
  </w:style>
  <w:style w:type="paragraph" w:styleId="Endnote">
    <w:name w:val="Endnote Text"/>
    <w:basedOn w:val="Normal"/>
    <w:pPr/>
    <w:rPr>
      <w:sz w:val="20"/>
      <w:szCs w:val="20"/>
    </w:rPr>
  </w:style>
  <w:style w:type="paragraph" w:styleId="Style17">
    <w:name w:val="Знак"/>
    <w:basedOn w:val="Normal"/>
    <w:autoRedefine/>
    <w:qFormat/>
    <w:pPr/>
    <w:rPr>
      <w:rFonts w:ascii="Arial" w:hAnsi="Arial" w:cs="Arial"/>
      <w:sz w:val="20"/>
      <w:szCs w:val="20"/>
      <w:lang w:val="en-ZA" w:eastAsia="en-ZA"/>
    </w:rPr>
  </w:style>
  <w:style w:type="paragraph" w:styleId="Style18">
    <w:name w:val="Знак Знак Знак"/>
    <w:basedOn w:val="Normal"/>
    <w:autoRedefine/>
    <w:qFormat/>
    <w:pPr/>
    <w:rPr>
      <w:rFonts w:ascii="Arial" w:hAnsi="Arial" w:cs="Arial"/>
      <w:sz w:val="20"/>
      <w:szCs w:val="20"/>
      <w:lang w:val="en-ZA" w:eastAsia="en-ZA"/>
    </w:rPr>
  </w:style>
  <w:style w:type="paragraph" w:styleId="1">
    <w:name w:val="Знак1"/>
    <w:basedOn w:val="Normal"/>
    <w:autoRedefine/>
    <w:qFormat/>
    <w:pPr/>
    <w:rPr>
      <w:rFonts w:ascii="Arial" w:hAnsi="Arial" w:cs="Arial"/>
      <w:sz w:val="20"/>
      <w:szCs w:val="20"/>
      <w:lang w:val="en-ZA" w:eastAsia="en-ZA"/>
    </w:rPr>
  </w:style>
  <w:style w:type="paragraph" w:styleId="Titlek">
    <w:name w:val="titlek"/>
    <w:basedOn w:val="Normal"/>
    <w:qFormat/>
    <w:pPr>
      <w:spacing w:before="240" w:after="0"/>
      <w:jc w:val="center"/>
    </w:pPr>
    <w:rPr>
      <w:caps/>
      <w:sz w:val="24"/>
      <w:szCs w:val="24"/>
    </w:rPr>
  </w:style>
  <w:style w:type="paragraph" w:styleId="Newncpi1">
    <w:name w:val="newncpi"/>
    <w:basedOn w:val="Normal"/>
    <w:qFormat/>
    <w:pPr>
      <w:ind w:firstLine="567"/>
      <w:jc w:val="both"/>
    </w:pPr>
    <w:rPr>
      <w:sz w:val="24"/>
      <w:szCs w:val="24"/>
    </w:rPr>
  </w:style>
  <w:style w:type="paragraph" w:styleId="Title">
    <w:name w:val="Title"/>
    <w:basedOn w:val="Normal"/>
    <w:qFormat/>
    <w:pPr>
      <w:spacing w:before="240" w:after="240"/>
      <w:ind w:right="2268" w:hanging="0"/>
    </w:pPr>
    <w:rPr>
      <w:b/>
      <w:bCs/>
      <w:sz w:val="28"/>
      <w:szCs w:val="28"/>
    </w:rPr>
  </w:style>
  <w:style w:type="paragraph" w:styleId="Newncpi0">
    <w:name w:val="newncpi0"/>
    <w:basedOn w:val="Normal"/>
    <w:qFormat/>
    <w:pPr>
      <w:jc w:val="both"/>
    </w:pPr>
    <w:rPr>
      <w:sz w:val="24"/>
      <w:szCs w:val="24"/>
    </w:rPr>
  </w:style>
  <w:style w:type="paragraph" w:styleId="BalloonText">
    <w:name w:val="Balloon Text"/>
    <w:basedOn w:val="Normal"/>
    <w:qFormat/>
    <w:pPr/>
    <w:rPr>
      <w:rFonts w:ascii="Segoe UI" w:hAnsi="Segoe UI" w:cs="Segoe UI"/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99</Pages>
  <Words>290</Words>
  <Characters>1941</Characters>
  <CharactersWithSpaces>1654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2018-12-04T20:51:00Z</dcterms:created>
  <dc:creator>1</dc:creator>
  <dc:description/>
  <dc:language>en-US</dc:language>
  <cp:lastModifiedBy/>
  <cp:lastPrinted>2020-09-24T15:55:00Z</cp:lastPrinted>
  <dcterms:modified xsi:type="dcterms:W3CDTF">2020-09-24T15:55:00Z</dcterms:modified>
  <cp:revision>3</cp:revision>
  <dc:subject/>
  <dc:title>Административная процедура №1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Одно Окно</vt:lpwstr>
  </property>
</Properties>
</file>