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8490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№1.5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pacing w:val="-8"/>
                <w:sz w:val="30"/>
                <w:szCs w:val="30"/>
              </w:rPr>
              <w:t>Выдача гражданам</w:t>
            </w:r>
            <w:r>
              <w:rPr>
                <w:b/>
                <w:sz w:val="30"/>
                <w:szCs w:val="30"/>
              </w:rPr>
              <w:t xml:space="preserve">, состоящим на учете нуждающихся в улучшении жилищных </w:t>
            </w:r>
            <w:r>
              <w:rPr>
                <w:b/>
                <w:spacing w:val="-8"/>
                <w:sz w:val="30"/>
                <w:szCs w:val="30"/>
              </w:rPr>
              <w:t>условий, направлений для</w:t>
            </w:r>
            <w:r>
              <w:rPr>
                <w:b/>
                <w:sz w:val="30"/>
                <w:szCs w:val="30"/>
              </w:rPr>
              <w:t xml:space="preserve"> заключения договоров создания объектов долевого строительства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5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pacing w:val="-8"/>
                <w:sz w:val="26"/>
                <w:szCs w:val="26"/>
              </w:rPr>
              <w:t>паспорт или иной документ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4"/>
                <w:sz w:val="26"/>
                <w:szCs w:val="26"/>
              </w:rPr>
              <w:t>удостоверяющий личность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 xml:space="preserve">справка о состоянии на учете нуждающихся в улучшении </w:t>
            </w:r>
            <w:r>
              <w:rPr>
                <w:spacing w:val="-4"/>
                <w:sz w:val="26"/>
                <w:szCs w:val="26"/>
              </w:rPr>
              <w:t xml:space="preserve">жилищных условий </w:t>
            </w:r>
            <w:r>
              <w:rPr>
                <w:spacing w:val="-4"/>
                <w:sz w:val="26"/>
                <w:szCs w:val="26"/>
                <w:lang w:val="be-BY"/>
              </w:rPr>
              <w:t>– в случае регистрации в другом населенно</w:t>
            </w:r>
            <w:r>
              <w:rPr>
                <w:sz w:val="26"/>
                <w:szCs w:val="26"/>
                <w:lang w:val="be-BY"/>
              </w:rPr>
              <w:t>м пункте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 w:before="0" w:after="240"/>
              <w:ind w:left="57" w:right="44" w:hanging="0"/>
              <w:jc w:val="both"/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3 дня , а в случае запроса документов и (или) сведений от других государствен</w:t>
            </w:r>
            <w:r>
              <w:rPr>
                <w:spacing w:val="-4"/>
                <w:sz w:val="26"/>
                <w:szCs w:val="26"/>
              </w:rPr>
              <w:t>ных органов, иных ор</w:t>
            </w:r>
            <w:r>
              <w:rPr>
                <w:sz w:val="26"/>
                <w:szCs w:val="26"/>
              </w:rPr>
              <w:t>ганизаций – 10 дней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30"/>
          <w:szCs w:val="30"/>
        </w:rPr>
        <w:tab/>
        <w:tab/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206" w:header="0" w:top="360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able10">
    <w:name w:val="table10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Style16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able101">
    <w:name w:val="table10"/>
    <w:basedOn w:val="Normal"/>
    <w:qFormat/>
    <w:pPr/>
    <w:rPr>
      <w:sz w:val="20"/>
      <w:szCs w:val="20"/>
    </w:rPr>
  </w:style>
  <w:style w:type="paragraph" w:styleId="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266</Words>
  <Characters>1785</Characters>
  <CharactersWithSpaces>1522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2015-07-07T09:48:00Z</dcterms:created>
  <dc:creator>1</dc:creator>
  <dc:description/>
  <dc:language>en-US</dc:language>
  <cp:lastModifiedBy/>
  <cp:lastPrinted>2020-09-24T12:18:00Z</cp:lastPrinted>
  <dcterms:modified xsi:type="dcterms:W3CDTF">2020-09-24T12:18:00Z</dcterms:modified>
  <cp:revision>11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