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160" w:type="dxa"/>
        <w:jc w:val="left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7"/>
        <w:gridCol w:w="8602"/>
      </w:tblGrid>
      <w:tr>
        <w:trPr/>
        <w:tc>
          <w:tcPr>
            <w:tcW w:w="1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100" w:after="100"/>
              <w:ind w:left="0" w:right="0" w:hanging="0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Административная процедура №1.1.15</w:t>
            </w:r>
            <w:r>
              <w:rPr>
                <w:b/>
                <w:bCs/>
                <w:sz w:val="30"/>
                <w:szCs w:val="30"/>
                <w:vertAlign w:val="superscript"/>
              </w:rPr>
              <w:t>1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«Принятие решения о переводе нежилого помещения в жилое»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</w:tc>
      </w:tr>
      <w:tr>
        <w:trPr>
          <w:trHeight w:val="1994" w:hRule="atLeast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Наименование структурного подразделения, выполняющего административную процедуру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Служба «одно окно»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Вилейский районный исполнительный комитет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(г. Вилейка, ул. Партизанская, 44)</w:t>
            </w:r>
          </w:p>
        </w:tc>
      </w:tr>
      <w:tr>
        <w:trPr>
          <w:trHeight w:val="1716" w:hRule="atLeast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Table101"/>
              <w:tabs>
                <w:tab w:val="clear" w:pos="708"/>
              </w:tabs>
              <w:bidi w:val="0"/>
              <w:spacing w:lineRule="exact" w:line="240"/>
              <w:ind w:left="0" w:right="0" w:hanging="0"/>
              <w:rPr/>
            </w:pPr>
            <w:r>
              <w:rPr>
                <w:sz w:val="26"/>
                <w:szCs w:val="26"/>
              </w:rPr>
              <w:t>заявление</w:t>
            </w:r>
            <w:r>
              <w:rPr/>
              <w:br/>
              <w:br/>
            </w:r>
            <w:r>
              <w:rPr>
                <w:sz w:val="26"/>
                <w:szCs w:val="26"/>
              </w:rPr>
              <w:t>технический паспорт и документ, подтверждающий право собственности на нежилое помещение</w:t>
            </w:r>
            <w:r>
              <w:rPr/>
              <w:br/>
              <w:br/>
            </w:r>
            <w:r>
              <w:rPr>
                <w:sz w:val="26"/>
                <w:szCs w:val="26"/>
              </w:rPr>
              <w:t>письменное согласие всех собственников нежилого помещения, находящегося в общей собственности</w:t>
            </w:r>
            <w:r>
              <w:rPr/>
              <w:br/>
              <w:br/>
            </w:r>
            <w:r>
              <w:rPr>
                <w:sz w:val="26"/>
                <w:szCs w:val="26"/>
              </w:rPr>
              <w:t>письменное согласие третьих лиц – в случае, если право собственности на переводимое нежилое помещение обременено правами третьих лиц</w:t>
            </w:r>
            <w:r>
              <w:rPr/>
              <w:br/>
              <w:br/>
            </w:r>
            <w:r>
              <w:rPr>
                <w:sz w:val="26"/>
                <w:szCs w:val="26"/>
              </w:rPr>
              <w:t>план-схема или перечень (описание) работ по реконструкции нежилого помещения, составленный в произвольной форме</w:t>
            </w:r>
          </w:p>
          <w:p>
            <w:pPr>
              <w:pStyle w:val="Table101"/>
              <w:tabs>
                <w:tab w:val="clear" w:pos="708"/>
              </w:tabs>
              <w:bidi w:val="0"/>
              <w:spacing w:lineRule="exact" w:line="28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Документы и (или) сведения, запрашиваемые государственным органом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40" w:before="40" w:after="240"/>
              <w:ind w:left="57" w:right="45" w:hanging="0"/>
              <w:jc w:val="both"/>
              <w:rPr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выписка из регистрационной книги о правах, ограничениях (обременениях) прав на капитальное строение**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 w:before="0" w:after="120"/>
              <w:ind w:left="0" w:right="0" w:hanging="0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сведения из городской (районной) инспекции природных ресурсов и охраны окружающей среды, зонального центра гигиены и эпидемиологии, органа госэнергогазнадзора, территориального органа (подразделения) по чрезвычайным ситуациям о соответствии перевода нежилого помещения в жилое правилам в области архитектурной, градостроительной и строительной деятельности, природоохранным, санитарно-эпидемиологическим требованиям, требованиям пожарной безопасности и иным обязательным требованиям технических нормативных правовых актов</w:t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>
            <w:pPr>
              <w:pStyle w:val="Normal"/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бесплатно</w:t>
            </w:r>
          </w:p>
        </w:tc>
      </w:tr>
      <w:tr>
        <w:trPr>
          <w:trHeight w:val="1129" w:hRule="atLeast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15 дней 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/>
        <w:t>ЖК Республики Беларусь (ст.21)</w:t>
      </w:r>
    </w:p>
    <w:sectPr>
      <w:type w:val="nextPage"/>
      <w:pgSz w:w="11906" w:h="16838"/>
      <w:pgMar w:left="720" w:right="386" w:header="0" w:top="360" w:footer="0" w:bottom="36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jc w:val="left"/>
      <w:textAlignment w:val="auto"/>
    </w:pPr>
    <w:rPr>
      <w:rFonts w:ascii="Times New Roman" w:hAnsi="Times New Roman" w:eastAsia="MS Mincho" w:cs="Times New Roman"/>
      <w:color w:val="000000"/>
      <w:kern w:val="2"/>
      <w:sz w:val="22"/>
      <w:szCs w:val="22"/>
      <w:lang w:val="ru-RU" w:eastAsia="ru-RU" w:bidi="ar-SA"/>
    </w:rPr>
  </w:style>
  <w:style w:type="paragraph" w:styleId="Heading1">
    <w:name w:val="Heading 1"/>
    <w:basedOn w:val="Normal"/>
    <w:qFormat/>
    <w:pPr>
      <w:keepNext w:val="true"/>
      <w:jc w:val="center"/>
      <w:outlineLvl w:val="0"/>
    </w:pPr>
    <w:rPr>
      <w:rFonts w:ascii="Times New Roman" w:hAnsi="Times New Roman" w:eastAsia="MS Mincho"/>
      <w:sz w:val="28"/>
      <w:szCs w:val="28"/>
      <w:lang w:eastAsia="ja-JP"/>
    </w:rPr>
  </w:style>
  <w:style w:type="character" w:styleId="DefaultParagraphFont">
    <w:name w:val="Default Paragraph Font"/>
    <w:qFormat/>
    <w:rPr/>
  </w:style>
  <w:style w:type="character" w:styleId="1">
    <w:name w:val="Заголовок 1 Знак"/>
    <w:basedOn w:val="DefaultParagraphFont"/>
    <w:qFormat/>
    <w:rPr>
      <w:rFonts w:ascii="Cambria" w:hAnsi="Cambria" w:cs="Cambria"/>
      <w:b/>
      <w:bCs/>
      <w:kern w:val="2"/>
      <w:sz w:val="32"/>
      <w:szCs w:val="32"/>
    </w:rPr>
  </w:style>
  <w:style w:type="character" w:styleId="Style13">
    <w:name w:val="Текст концевой сноски Знак"/>
    <w:basedOn w:val="DefaultParagraphFont"/>
    <w:qFormat/>
    <w:rPr>
      <w:sz w:val="20"/>
      <w:szCs w:val="20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3">
    <w:name w:val="Основной текст 3 Знак"/>
    <w:basedOn w:val="DefaultParagraphFont"/>
    <w:qFormat/>
    <w:rPr>
      <w:sz w:val="16"/>
      <w:szCs w:val="16"/>
    </w:rPr>
  </w:style>
  <w:style w:type="character" w:styleId="2">
    <w:name w:val="Основной текст 2 Знак"/>
    <w:basedOn w:val="DefaultParagraphFont"/>
    <w:qFormat/>
    <w:rPr/>
  </w:style>
  <w:style w:type="character" w:styleId="Style14">
    <w:name w:val="Нижний колонтитул Знак"/>
    <w:basedOn w:val="DefaultParagraphFont"/>
    <w:qFormat/>
    <w:rPr/>
  </w:style>
  <w:style w:type="character" w:styleId="Style15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Table10">
    <w:name w:val="table10 Знак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MS Mincho" w:cs="Times New Roman"/>
      <w:color w:val="auto"/>
      <w:kern w:val="2"/>
      <w:sz w:val="22"/>
      <w:szCs w:val="22"/>
      <w:lang w:val="ru-RU" w:eastAsia="ru-RU" w:bidi="ar-SA"/>
    </w:rPr>
  </w:style>
  <w:style w:type="paragraph" w:styleId="Table101">
    <w:name w:val="table10"/>
    <w:basedOn w:val="Normal"/>
    <w:qFormat/>
    <w:pPr>
      <w:spacing w:before="0" w:after="100"/>
    </w:pPr>
    <w:rPr>
      <w:sz w:val="20"/>
      <w:szCs w:val="20"/>
    </w:rPr>
  </w:style>
  <w:style w:type="paragraph" w:styleId="Endnote">
    <w:name w:val="Endnote Text"/>
    <w:basedOn w:val="Normal"/>
    <w:pPr/>
    <w:rPr>
      <w:sz w:val="20"/>
      <w:szCs w:val="20"/>
    </w:rPr>
  </w:style>
  <w:style w:type="paragraph" w:styleId="BodyText3">
    <w:name w:val="Body Text 3"/>
    <w:basedOn w:val="Normal"/>
    <w:qFormat/>
    <w:pPr/>
    <w:rPr>
      <w:sz w:val="30"/>
      <w:szCs w:val="30"/>
    </w:rPr>
  </w:style>
  <w:style w:type="paragraph" w:styleId="BodyText2">
    <w:name w:val="Body Text 2"/>
    <w:basedOn w:val="Normal"/>
    <w:qFormat/>
    <w:pPr>
      <w:jc w:val="both"/>
    </w:pPr>
    <w:rPr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sz w:val="30"/>
      <w:szCs w:val="3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16">
    <w:name w:val="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11">
    <w:name w:val="Знак1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Style17">
    <w:name w:val="Знак Знак 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99</Pages>
  <Words>290</Words>
  <Characters>1942</Characters>
  <CharactersWithSpaces>1655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2015-07-07T09:08:00Z</dcterms:created>
  <dc:creator>1</dc:creator>
  <dc:description/>
  <dc:language>en-US</dc:language>
  <cp:lastModifiedBy/>
  <cp:lastPrinted>2020-09-24T11:39:00Z</cp:lastPrinted>
  <dcterms:modified xsi:type="dcterms:W3CDTF">2020-09-24T11:39:00Z</dcterms:modified>
  <cp:revision>12</cp:revision>
  <dc:subject/>
  <dc:title>Административная процедура №1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Одно Окно</vt:lpwstr>
  </property>
</Properties>
</file>