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160" w:type="dxa"/>
        <w:jc w:val="start"/>
        <w:tblInd w:w="-36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2767"/>
        <w:gridCol w:w="8392"/>
      </w:tblGrid>
      <w:tr>
        <w:trPr>
          <w:trHeight w:val="1252" w:hRule="atLeast"/>
        </w:trPr>
        <w:tc>
          <w:tcPr>
            <w:tcW w:w="1115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Административная процедура № 6.10.1</w:t>
            </w:r>
          </w:p>
          <w:p>
            <w:pPr>
              <w:pStyle w:val="Normal"/>
              <w:tabs>
                <w:tab w:val="clear" w:pos="708"/>
              </w:tabs>
              <w:bidi w:val="0"/>
              <w:ind w:start="0" w:end="0" w:hanging="0"/>
              <w:jc w:val="center"/>
              <w:rPr/>
            </w:pPr>
            <w:r>
              <w:rPr>
                <w:b/>
                <w:bCs/>
                <w:sz w:val="30"/>
                <w:szCs w:val="30"/>
              </w:rPr>
              <w:t>Получение решения о предоставлении геологического отвода с выдачей в установленном порядке акта, удостоверяющего геологический отвод</w:t>
            </w:r>
          </w:p>
        </w:tc>
      </w:tr>
      <w:tr>
        <w:trPr>
          <w:trHeight w:val="1611" w:hRule="atLeast"/>
        </w:trPr>
        <w:tc>
          <w:tcPr>
            <w:tcW w:w="2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/>
            </w:pPr>
            <w:r>
              <w:rPr>
                <w:b/>
                <w:bCs/>
                <w:sz w:val="26"/>
                <w:szCs w:val="26"/>
              </w:rPr>
              <w:t>Наименование структурного подразделения, выполняющего административную процедуру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rPr/>
            </w:pPr>
            <w:r>
              <w:rPr>
                <w:sz w:val="26"/>
                <w:szCs w:val="26"/>
                <w:u w:val="single"/>
              </w:rPr>
              <w:t>На альтернативной основе: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rPr/>
            </w:pPr>
            <w:r>
              <w:rPr>
                <w:b/>
                <w:sz w:val="26"/>
                <w:szCs w:val="26"/>
              </w:rPr>
              <w:t>Служба «одно окно» Вилейского районного исполнительного комитета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rPr/>
            </w:pPr>
            <w:r>
              <w:rPr>
                <w:sz w:val="26"/>
                <w:szCs w:val="26"/>
              </w:rPr>
              <w:t>(г. Вилейка, ул. Партизанская, 44, тел.142)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rPr/>
            </w:pPr>
            <w:r>
              <w:rPr>
                <w:b/>
                <w:sz w:val="26"/>
                <w:szCs w:val="26"/>
              </w:rPr>
              <w:t>Вилейская районная инспекция природных ресурсов и охраны окружающей среды</w:t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rPr/>
            </w:pPr>
            <w:r>
              <w:rPr>
                <w:sz w:val="26"/>
                <w:szCs w:val="26"/>
              </w:rPr>
              <w:t>(г.Вилейка, ул.Водопьянова,24, тел.55364)</w:t>
            </w:r>
          </w:p>
        </w:tc>
      </w:tr>
      <w:tr>
        <w:trPr>
          <w:trHeight w:val="1393" w:hRule="atLeast"/>
        </w:trPr>
        <w:tc>
          <w:tcPr>
            <w:tcW w:w="2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26"/>
                <w:szCs w:val="26"/>
              </w:rPr>
              <w:t>заявление о предоставлении геологического отвода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26"/>
                <w:szCs w:val="26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26"/>
                <w:szCs w:val="26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26"/>
                <w:szCs w:val="26"/>
              </w:rPr>
              <w:t>перечень планируемых работ по геологическому изучению недр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start="0" w:end="0" w:hanging="0"/>
              <w:rPr/>
            </w:pPr>
            <w:r>
              <w:rPr>
                <w:sz w:val="26"/>
                <w:szCs w:val="26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геологического отвода принимается в связи с заключением таких договоров</w:t>
            </w:r>
          </w:p>
        </w:tc>
      </w:tr>
      <w:tr>
        <w:trPr>
          <w:trHeight w:val="1128" w:hRule="atLeast"/>
        </w:trPr>
        <w:tc>
          <w:tcPr>
            <w:tcW w:w="2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/>
            </w:pPr>
            <w:r>
              <w:rPr>
                <w:b/>
                <w:bCs/>
                <w:sz w:val="26"/>
                <w:szCs w:val="26"/>
              </w:rPr>
              <w:t>Документы и (или) сведения, запрашиваемые государственным органом</w:t>
            </w:r>
            <w:r>
              <w:rPr>
                <w:rFonts w:eastAsia="Symbol" w:cs="Symbol" w:ascii="Symbol" w:hAnsi="Symbol"/>
                <w:b/>
                <w:bCs/>
                <w:sz w:val="26"/>
                <w:szCs w:val="26"/>
              </w:rPr>
              <w:t>*</w:t>
            </w:r>
            <w:r>
              <w:rPr>
                <w:rStyle w:val="EndnoteAnchor"/>
                <w:b/>
                <w:bCs/>
                <w:sz w:val="26"/>
                <w:szCs w:val="26"/>
                <w:vertAlign w:val="superscript"/>
              </w:rPr>
              <w:endnoteReference w:id="2"/>
            </w:r>
          </w:p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8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40" w:before="0" w:after="240"/>
              <w:ind w:start="57" w:end="45" w:hanging="0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/>
            </w:pPr>
            <w:r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jc w:val="both"/>
              <w:rPr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>
        <w:trPr/>
        <w:tc>
          <w:tcPr>
            <w:tcW w:w="2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bidi w:val="0"/>
              <w:spacing w:lineRule="exact" w:line="220"/>
              <w:ind w:start="0" w:end="0" w:hanging="0"/>
              <w:rPr/>
            </w:pPr>
            <w:r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bidi w:val="0"/>
              <w:spacing w:lineRule="exact" w:line="280"/>
              <w:ind w:start="0" w:end="0" w:hanging="0"/>
              <w:jc w:val="both"/>
              <w:rPr/>
            </w:pPr>
            <w:r>
              <w:rPr>
                <w:sz w:val="26"/>
                <w:szCs w:val="26"/>
              </w:rPr>
              <w:t>35  рабочих дней</w:t>
            </w:r>
          </w:p>
        </w:tc>
      </w:tr>
      <w:tr>
        <w:trPr>
          <w:trHeight w:val="1562" w:hRule="atLeast"/>
        </w:trPr>
        <w:tc>
          <w:tcPr>
            <w:tcW w:w="27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20"/>
              <w:ind w:start="0" w:end="0" w:hanging="0"/>
              <w:rPr/>
            </w:pPr>
            <w:r>
              <w:rPr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839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0" w:type="dxa"/>
              <w:end w:w="0" w:type="dxa"/>
            </w:tcMar>
          </w:tcPr>
          <w:p>
            <w:pPr>
              <w:pStyle w:val="Normal"/>
              <w:tabs>
                <w:tab w:val="clear" w:pos="708"/>
              </w:tabs>
              <w:bidi w:val="0"/>
              <w:spacing w:lineRule="exact" w:line="280"/>
              <w:ind w:start="0" w:end="0" w:hanging="0"/>
              <w:jc w:val="both"/>
              <w:rPr/>
            </w:pPr>
            <w:r>
              <w:rPr>
                <w:sz w:val="26"/>
                <w:szCs w:val="26"/>
              </w:rPr>
              <w:t>до 5 лет в соответствии с подпунктом 1.1 пункта 1 статьи 29 Кодекса Республики Беларусь о недрах</w:t>
            </w:r>
          </w:p>
        </w:tc>
      </w:tr>
    </w:tbl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Endnote"/>
        <w:bidi w:val="0"/>
        <w:ind w:start="0" w:end="0" w:hanging="0"/>
        <w:jc w:val="both"/>
        <w:rPr/>
      </w:pPr>
      <w:r>
        <w:rPr/>
      </w:r>
    </w:p>
    <w:sectPr>
      <w:endnotePr>
        <w:numFmt w:val="lowerRoman"/>
      </w:endnotePr>
      <w:type w:val="nextPage"/>
      <w:pgSz w:w="11906" w:h="16838"/>
      <w:pgMar w:left="720" w:right="386" w:gutter="0" w:header="0" w:top="360" w:footer="0" w:bottom="360"/>
      <w:pgNumType w:fmt="decimal"/>
      <w:formProt w:val="false"/>
      <w:textDirection w:val="lrTb"/>
      <w:docGrid w:type="default" w:linePitch="10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"/>
        <w:bidi w:val="0"/>
        <w:jc w:val="start"/>
        <w:rPr/>
      </w:pPr>
      <w:r>
        <w:rPr>
          <w:rStyle w:val="EndnoteCharacters"/>
        </w:rPr>
        <w:endnoteRef/>
      </w:r>
      <w:r>
        <w:rPr/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Cambria">
    <w:charset w:val="01" w:characterSet="utf-8"/>
    <w:family w:val="roman"/>
    <w:pitch w:val="variable"/>
  </w:font>
  <w:font w:name="Segoe UI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lowerRoman"/>
    <w:endnote w:id="0"/>
    <w:endnote w:id="1"/>
  </w:end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jc w:val="start"/>
      <w:textAlignment w:val="auto"/>
    </w:pPr>
    <w:rPr>
      <w:rFonts w:ascii="Times New Roman" w:hAnsi="Times New Roman" w:eastAsia="Symbol" w:cs="Times New Roman"/>
      <w:color w:val="000000"/>
      <w:kern w:val="2"/>
      <w:sz w:val="22"/>
      <w:szCs w:val="22"/>
      <w:lang w:val="ru-RU" w:eastAsia="ru-RU" w:bidi="ar-SA"/>
    </w:rPr>
  </w:style>
  <w:style w:type="paragraph" w:styleId="Heading1">
    <w:name w:val="Heading 1"/>
    <w:basedOn w:val="Normal"/>
    <w:next w:val="Normal"/>
    <w:qFormat/>
    <w:pPr>
      <w:keepNext w:val="true"/>
      <w:jc w:val="center"/>
      <w:outlineLvl w:val="0"/>
    </w:pPr>
    <w:rPr>
      <w:rFonts w:ascii="Times New Roman" w:hAnsi="Times New Roman" w:eastAsia="MS Mincho"/>
      <w:sz w:val="28"/>
      <w:szCs w:val="28"/>
      <w:lang w:eastAsia="ja-JP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Cambria" w:hAnsi="Cambria" w:cs="Cambria"/>
      <w:b/>
      <w:bCs/>
      <w:kern w:val="2"/>
      <w:sz w:val="32"/>
      <w:szCs w:val="32"/>
    </w:rPr>
  </w:style>
  <w:style w:type="character" w:styleId="Style13">
    <w:name w:val="Текст концевой сноски Знак"/>
    <w:basedOn w:val="DefaultParagraphFont"/>
    <w:qFormat/>
    <w:rPr>
      <w:sz w:val="20"/>
      <w:szCs w:val="20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3">
    <w:name w:val="Основной текст 3 Знак"/>
    <w:basedOn w:val="DefaultParagraphFont"/>
    <w:qFormat/>
    <w:rPr>
      <w:sz w:val="16"/>
      <w:szCs w:val="16"/>
    </w:rPr>
  </w:style>
  <w:style w:type="character" w:styleId="2">
    <w:name w:val="Основной текст 2 Знак"/>
    <w:basedOn w:val="DefaultParagraphFont"/>
    <w:qFormat/>
    <w:rPr/>
  </w:style>
  <w:style w:type="character" w:styleId="Style14">
    <w:name w:val="Нижний колонтитул Знак"/>
    <w:basedOn w:val="DefaultParagraphFont"/>
    <w:qFormat/>
    <w:rPr/>
  </w:style>
  <w:style w:type="character" w:styleId="Table10">
    <w:name w:val="table10 Знак"/>
    <w:basedOn w:val="DefaultParagraphFont"/>
    <w:qFormat/>
    <w:rPr/>
  </w:style>
  <w:style w:type="character" w:styleId="Datecity">
    <w:name w:val="datecity"/>
    <w:basedOn w:val="DefaultParagraphFont"/>
    <w:qFormat/>
    <w:rPr>
      <w:rFonts w:ascii="Times New Roman" w:hAnsi="Times New Roman"/>
      <w:sz w:val="24"/>
      <w:szCs w:val="24"/>
    </w:rPr>
  </w:style>
  <w:style w:type="character" w:styleId="Style15">
    <w:name w:val="Заголовок Знак"/>
    <w:basedOn w:val="DefaultParagraphFont"/>
    <w:qFormat/>
    <w:rPr>
      <w:rFonts w:ascii="Cambria" w:hAnsi="Cambria" w:eastAsia="Times New Roman"/>
      <w:b/>
      <w:bCs/>
      <w:kern w:val="2"/>
      <w:sz w:val="32"/>
      <w:szCs w:val="32"/>
    </w:rPr>
  </w:style>
  <w:style w:type="character" w:styleId="Style16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start"/>
      <w:textAlignment w:val="auto"/>
    </w:pPr>
    <w:rPr>
      <w:rFonts w:ascii="Times New Roman" w:hAnsi="Times New Roman" w:eastAsia="Symbol" w:cs="Times New Roman"/>
      <w:color w:val="auto"/>
      <w:kern w:val="2"/>
      <w:sz w:val="22"/>
      <w:szCs w:val="22"/>
      <w:lang w:val="ru-RU" w:eastAsia="ru-RU" w:bidi="ar-SA"/>
    </w:rPr>
  </w:style>
  <w:style w:type="paragraph" w:styleId="Table101">
    <w:name w:val="table10"/>
    <w:basedOn w:val="Normal"/>
    <w:qFormat/>
    <w:pPr>
      <w:spacing w:before="0" w:after="100"/>
    </w:pPr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odyText3">
    <w:name w:val="Body Text 3"/>
    <w:basedOn w:val="Normal"/>
    <w:qFormat/>
    <w:pPr/>
    <w:rPr>
      <w:sz w:val="30"/>
      <w:szCs w:val="30"/>
    </w:rPr>
  </w:style>
  <w:style w:type="paragraph" w:styleId="BodyText2">
    <w:name w:val="Body Text 2"/>
    <w:basedOn w:val="Normal"/>
    <w:qFormat/>
    <w:pPr>
      <w:jc w:val="both"/>
    </w:pPr>
    <w:rPr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sz w:val="30"/>
      <w:szCs w:val="30"/>
    </w:rPr>
  </w:style>
  <w:style w:type="paragraph" w:styleId="TableGrid">
    <w:name w:val="Table Grid"/>
    <w:basedOn w:val="NormalTable"/>
    <w:qFormat/>
    <w:pPr/>
    <w:rPr>
      <w:sz w:val="20"/>
      <w:szCs w:val="20"/>
    </w:rPr>
  </w:style>
  <w:style w:type="paragraph" w:styleId="Style17">
    <w:name w:val="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Style18">
    <w:name w:val="Знак Знак Знак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Titlep">
    <w:name w:val="titlep"/>
    <w:basedOn w:val="Normal"/>
    <w:qFormat/>
    <w:pPr>
      <w:spacing w:before="240" w:after="240"/>
      <w:jc w:val="center"/>
    </w:pPr>
    <w:rPr>
      <w:b/>
      <w:bCs/>
      <w:sz w:val="24"/>
      <w:szCs w:val="24"/>
    </w:rPr>
  </w:style>
  <w:style w:type="paragraph" w:styleId="Snoskiline">
    <w:name w:val="snoskiline"/>
    <w:basedOn w:val="Normal"/>
    <w:qFormat/>
    <w:pPr>
      <w:jc w:val="both"/>
    </w:pPr>
    <w:rPr>
      <w:sz w:val="20"/>
      <w:szCs w:val="20"/>
    </w:rPr>
  </w:style>
  <w:style w:type="paragraph" w:styleId="Newncpi">
    <w:name w:val="newncpi"/>
    <w:basedOn w:val="Normal"/>
    <w:qFormat/>
    <w:pPr>
      <w:ind w:firstLine="567"/>
      <w:jc w:val="both"/>
    </w:pPr>
    <w:rPr>
      <w:sz w:val="24"/>
      <w:szCs w:val="24"/>
    </w:rPr>
  </w:style>
  <w:style w:type="paragraph" w:styleId="Newncpi0">
    <w:name w:val="newncpi0"/>
    <w:basedOn w:val="Normal"/>
    <w:qFormat/>
    <w:pPr>
      <w:jc w:val="both"/>
    </w:pPr>
    <w:rPr>
      <w:sz w:val="24"/>
      <w:szCs w:val="24"/>
    </w:rPr>
  </w:style>
  <w:style w:type="paragraph" w:styleId="Undline">
    <w:name w:val="undline"/>
    <w:basedOn w:val="Normal"/>
    <w:qFormat/>
    <w:pPr>
      <w:jc w:val="both"/>
    </w:pPr>
    <w:rPr>
      <w:sz w:val="20"/>
      <w:szCs w:val="20"/>
    </w:rPr>
  </w:style>
  <w:style w:type="paragraph" w:styleId="Tablencpi">
    <w:name w:val="tablencpi"/>
    <w:qFormat/>
    <w:pPr>
      <w:widowControl/>
      <w:bidi w:val="0"/>
      <w:jc w:val="start"/>
      <w:textAlignment w:val="auto"/>
    </w:pPr>
    <w:rPr>
      <w:rFonts w:ascii="Times New Roman" w:hAnsi="Times New Roman" w:eastAsia="Symbol" w:cs="Times New Roman"/>
      <w:color w:val="auto"/>
      <w:kern w:val="2"/>
      <w:sz w:val="20"/>
      <w:szCs w:val="20"/>
      <w:lang w:val="ru-RU" w:eastAsia="ru-RU" w:bidi="ar-SA"/>
    </w:rPr>
  </w:style>
  <w:style w:type="paragraph" w:styleId="11">
    <w:name w:val="Знак1"/>
    <w:basedOn w:val="Normal"/>
    <w:autoRedefine/>
    <w:qFormat/>
    <w:pPr/>
    <w:rPr>
      <w:rFonts w:ascii="Arial" w:hAnsi="Arial" w:cs="Arial"/>
      <w:sz w:val="20"/>
      <w:szCs w:val="20"/>
      <w:lang w:val="en-ZA" w:eastAsia="en-ZA"/>
    </w:rPr>
  </w:style>
  <w:style w:type="paragraph" w:styleId="Underpoint">
    <w:name w:val="underpoint"/>
    <w:basedOn w:val="Normal"/>
    <w:qFormat/>
    <w:pPr>
      <w:ind w:firstLine="567"/>
      <w:jc w:val="both"/>
    </w:pPr>
    <w:rPr>
      <w:sz w:val="24"/>
      <w:szCs w:val="24"/>
    </w:rPr>
  </w:style>
  <w:style w:type="paragraph" w:styleId="Titleu">
    <w:name w:val="titleu"/>
    <w:basedOn w:val="Normal"/>
    <w:qFormat/>
    <w:pPr>
      <w:spacing w:before="240" w:after="240"/>
    </w:pPr>
    <w:rPr>
      <w:b/>
      <w:bCs/>
      <w:sz w:val="24"/>
      <w:szCs w:val="24"/>
    </w:rPr>
  </w:style>
  <w:style w:type="paragraph" w:styleId="Title">
    <w:name w:val="Title"/>
    <w:basedOn w:val="Normal"/>
    <w:qFormat/>
    <w:pPr>
      <w:spacing w:before="240" w:after="240"/>
      <w:ind w:end="2268" w:hanging="0"/>
    </w:pPr>
    <w:rPr>
      <w:b/>
      <w:bCs/>
      <w:sz w:val="28"/>
      <w:szCs w:val="28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LibreOffice/7.2.6.2$Linux_X86_64 LibreOffice_project/20$Build-2</Application>
  <AppVersion>15.0000</AppVersion>
  <Pages>99</Pages>
  <Words>278</Words>
  <Characters>1861</Characters>
  <CharactersWithSpaces>1586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2015-07-07T08:53:00Z</dcterms:created>
  <dc:creator>1</dc:creator>
  <dc:description/>
  <dc:language>en-US</dc:language>
  <cp:lastModifiedBy/>
  <cp:lastPrinted>2020-09-24T11:32:00Z</cp:lastPrinted>
  <dcterms:modified xsi:type="dcterms:W3CDTF">2022-04-12T15:12:00Z</dcterms:modified>
  <cp:revision>45</cp:revision>
  <dc:subject/>
  <dc:title>Административная процедура №1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Одно Окно</vt:lpwstr>
  </property>
</Properties>
</file>