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1D" w:rsidRPr="00C87B1D" w:rsidRDefault="00C87B1D" w:rsidP="00C87B1D">
      <w:pPr>
        <w:jc w:val="center"/>
        <w:rPr>
          <w:rFonts w:ascii="Times New Roman" w:hAnsi="Times New Roman" w:cs="Times New Roman"/>
          <w:b/>
          <w:sz w:val="30"/>
          <w:szCs w:val="30"/>
        </w:rPr>
      </w:pPr>
      <w:proofErr w:type="spellStart"/>
      <w:r w:rsidRPr="00C87B1D">
        <w:rPr>
          <w:rFonts w:ascii="Times New Roman" w:hAnsi="Times New Roman" w:cs="Times New Roman"/>
          <w:b/>
          <w:sz w:val="30"/>
          <w:szCs w:val="30"/>
        </w:rPr>
        <w:t>Вилейский</w:t>
      </w:r>
      <w:proofErr w:type="spellEnd"/>
      <w:r w:rsidRPr="00C87B1D">
        <w:rPr>
          <w:rFonts w:ascii="Times New Roman" w:hAnsi="Times New Roman" w:cs="Times New Roman"/>
          <w:b/>
          <w:sz w:val="30"/>
          <w:szCs w:val="30"/>
        </w:rPr>
        <w:t xml:space="preserve"> районный исполнительный комитет</w:t>
      </w:r>
    </w:p>
    <w:p w:rsidR="00C87B1D" w:rsidRPr="00C87B1D" w:rsidRDefault="00C87B1D" w:rsidP="00C87B1D">
      <w:pPr>
        <w:jc w:val="center"/>
        <w:rPr>
          <w:rFonts w:ascii="Times New Roman" w:hAnsi="Times New Roman" w:cs="Times New Roman"/>
          <w:b/>
          <w:sz w:val="30"/>
          <w:szCs w:val="30"/>
        </w:rPr>
      </w:pPr>
      <w:r w:rsidRPr="00C87B1D">
        <w:rPr>
          <w:rFonts w:ascii="Times New Roman" w:hAnsi="Times New Roman" w:cs="Times New Roman"/>
          <w:b/>
          <w:sz w:val="30"/>
          <w:szCs w:val="30"/>
        </w:rPr>
        <w:t>Совет по развитию предпринимательства</w:t>
      </w:r>
    </w:p>
    <w:p w:rsidR="00C87B1D" w:rsidRPr="003252A8" w:rsidRDefault="00C87B1D" w:rsidP="00C87B1D">
      <w:pPr>
        <w:jc w:val="center"/>
        <w:rPr>
          <w:rFonts w:ascii="Times New Roman" w:hAnsi="Times New Roman" w:cs="Times New Roman"/>
          <w:b/>
          <w:sz w:val="20"/>
          <w:szCs w:val="20"/>
        </w:rPr>
      </w:pPr>
    </w:p>
    <w:p w:rsidR="003252A8" w:rsidRDefault="00DF65F9" w:rsidP="00C87B1D">
      <w:pPr>
        <w:jc w:val="center"/>
        <w:rPr>
          <w:rFonts w:ascii="Times New Roman" w:eastAsia="Times New Roman" w:hAnsi="Times New Roman" w:cs="Times New Roman"/>
          <w:b/>
          <w:sz w:val="30"/>
          <w:szCs w:val="30"/>
          <w:lang w:eastAsia="ru-RU"/>
        </w:rPr>
      </w:pPr>
      <w:r>
        <w:rPr>
          <w:rFonts w:ascii="Times New Roman" w:hAnsi="Times New Roman" w:cs="Times New Roman"/>
          <w:b/>
          <w:sz w:val="30"/>
          <w:szCs w:val="30"/>
        </w:rPr>
        <w:t>Семинар</w:t>
      </w:r>
    </w:p>
    <w:p w:rsidR="00C87B1D" w:rsidRDefault="00C87B1D" w:rsidP="00DF65F9">
      <w:pPr>
        <w:jc w:val="center"/>
        <w:rPr>
          <w:rFonts w:ascii="Times New Roman" w:eastAsia="Times New Roman" w:hAnsi="Times New Roman" w:cs="Times New Roman"/>
          <w:b/>
          <w:sz w:val="30"/>
          <w:szCs w:val="30"/>
          <w:lang w:eastAsia="ru-RU"/>
        </w:rPr>
      </w:pPr>
      <w:r w:rsidRPr="00C87B1D">
        <w:rPr>
          <w:rFonts w:ascii="Times New Roman" w:eastAsia="Times New Roman" w:hAnsi="Times New Roman" w:cs="Times New Roman"/>
          <w:b/>
          <w:sz w:val="30"/>
          <w:szCs w:val="30"/>
          <w:lang w:eastAsia="ru-RU"/>
        </w:rPr>
        <w:t>«</w:t>
      </w:r>
      <w:r w:rsidR="00DF65F9">
        <w:rPr>
          <w:rFonts w:ascii="Times New Roman" w:eastAsia="Times New Roman" w:hAnsi="Times New Roman" w:cs="Times New Roman"/>
          <w:b/>
          <w:sz w:val="30"/>
          <w:szCs w:val="30"/>
          <w:lang w:eastAsia="ru-RU"/>
        </w:rPr>
        <w:t>Об изменении законодательства</w:t>
      </w:r>
      <w:r w:rsidRPr="00C87B1D">
        <w:rPr>
          <w:rFonts w:ascii="Times New Roman" w:eastAsia="Times New Roman" w:hAnsi="Times New Roman" w:cs="Times New Roman"/>
          <w:b/>
          <w:sz w:val="30"/>
          <w:szCs w:val="30"/>
          <w:lang w:eastAsia="ru-RU"/>
        </w:rPr>
        <w:t>»</w:t>
      </w:r>
    </w:p>
    <w:p w:rsidR="003252A8" w:rsidRDefault="003252A8" w:rsidP="00C87B1D">
      <w:pPr>
        <w:jc w:val="center"/>
        <w:rPr>
          <w:rFonts w:ascii="Times New Roman" w:eastAsia="Times New Roman" w:hAnsi="Times New Roman" w:cs="Times New Roman"/>
          <w:b/>
          <w:sz w:val="30"/>
          <w:szCs w:val="30"/>
          <w:lang w:eastAsia="ru-RU"/>
        </w:rPr>
      </w:pPr>
    </w:p>
    <w:p w:rsidR="003252A8" w:rsidRDefault="003252A8" w:rsidP="003252A8">
      <w:pPr>
        <w:jc w:val="center"/>
        <w:rPr>
          <w:rFonts w:ascii="Times New Roman" w:hAnsi="Times New Roman" w:cs="Times New Roman"/>
          <w:b/>
          <w:sz w:val="30"/>
          <w:szCs w:val="30"/>
        </w:rPr>
      </w:pPr>
      <w:r w:rsidRPr="00C87B1D">
        <w:rPr>
          <w:rFonts w:ascii="Times New Roman" w:hAnsi="Times New Roman" w:cs="Times New Roman"/>
          <w:b/>
          <w:sz w:val="30"/>
          <w:szCs w:val="30"/>
        </w:rPr>
        <w:t>П Р О Т О К О Л      №</w:t>
      </w:r>
      <w:r w:rsidR="00DF65F9">
        <w:rPr>
          <w:rFonts w:ascii="Times New Roman" w:hAnsi="Times New Roman" w:cs="Times New Roman"/>
          <w:b/>
          <w:sz w:val="30"/>
          <w:szCs w:val="30"/>
        </w:rPr>
        <w:t>3</w:t>
      </w:r>
    </w:p>
    <w:p w:rsidR="003252A8" w:rsidRPr="00C87B1D" w:rsidRDefault="003252A8" w:rsidP="00C87B1D">
      <w:pPr>
        <w:jc w:val="center"/>
        <w:rPr>
          <w:rFonts w:ascii="Times New Roman" w:hAnsi="Times New Roman" w:cs="Times New Roman"/>
          <w:b/>
          <w:sz w:val="30"/>
          <w:szCs w:val="30"/>
        </w:rPr>
      </w:pPr>
    </w:p>
    <w:p w:rsidR="00C87B1D" w:rsidRPr="00C87B1D" w:rsidRDefault="00C87B1D" w:rsidP="00C87B1D">
      <w:pPr>
        <w:jc w:val="center"/>
        <w:rPr>
          <w:rFonts w:ascii="Times New Roman" w:hAnsi="Times New Roman" w:cs="Times New Roman"/>
          <w:b/>
          <w:sz w:val="30"/>
          <w:szCs w:val="30"/>
        </w:rPr>
      </w:pPr>
    </w:p>
    <w:p w:rsidR="00C87B1D" w:rsidRPr="00C87B1D" w:rsidRDefault="00C87B1D" w:rsidP="00C87B1D">
      <w:pPr>
        <w:rPr>
          <w:rFonts w:ascii="Times New Roman" w:hAnsi="Times New Roman" w:cs="Times New Roman"/>
          <w:sz w:val="30"/>
          <w:szCs w:val="30"/>
        </w:rPr>
      </w:pPr>
      <w:r>
        <w:rPr>
          <w:rFonts w:ascii="Times New Roman" w:hAnsi="Times New Roman" w:cs="Times New Roman"/>
          <w:sz w:val="30"/>
          <w:szCs w:val="30"/>
        </w:rPr>
        <w:t>1</w:t>
      </w:r>
      <w:r w:rsidR="00DF65F9">
        <w:rPr>
          <w:rFonts w:ascii="Times New Roman" w:hAnsi="Times New Roman" w:cs="Times New Roman"/>
          <w:sz w:val="30"/>
          <w:szCs w:val="30"/>
        </w:rPr>
        <w:t>8</w:t>
      </w:r>
      <w:r w:rsidRPr="00C87B1D">
        <w:rPr>
          <w:rFonts w:ascii="Times New Roman" w:hAnsi="Times New Roman" w:cs="Times New Roman"/>
          <w:sz w:val="30"/>
          <w:szCs w:val="30"/>
        </w:rPr>
        <w:t>.</w:t>
      </w:r>
      <w:r w:rsidR="007361E7">
        <w:rPr>
          <w:rFonts w:ascii="Times New Roman" w:hAnsi="Times New Roman" w:cs="Times New Roman"/>
          <w:sz w:val="30"/>
          <w:szCs w:val="30"/>
        </w:rPr>
        <w:t>0</w:t>
      </w:r>
      <w:r w:rsidR="00DF65F9">
        <w:rPr>
          <w:rFonts w:ascii="Times New Roman" w:hAnsi="Times New Roman" w:cs="Times New Roman"/>
          <w:sz w:val="30"/>
          <w:szCs w:val="30"/>
        </w:rPr>
        <w:t>5</w:t>
      </w:r>
      <w:r w:rsidRPr="00C87B1D">
        <w:rPr>
          <w:rFonts w:ascii="Times New Roman" w:hAnsi="Times New Roman" w:cs="Times New Roman"/>
          <w:sz w:val="30"/>
          <w:szCs w:val="30"/>
        </w:rPr>
        <w:t>.202</w:t>
      </w:r>
      <w:r w:rsidR="007361E7">
        <w:rPr>
          <w:rFonts w:ascii="Times New Roman" w:hAnsi="Times New Roman" w:cs="Times New Roman"/>
          <w:sz w:val="30"/>
          <w:szCs w:val="30"/>
        </w:rPr>
        <w:t>1</w:t>
      </w:r>
      <w:r w:rsidRPr="00C87B1D">
        <w:rPr>
          <w:rFonts w:ascii="Times New Roman" w:hAnsi="Times New Roman" w:cs="Times New Roman"/>
          <w:sz w:val="30"/>
          <w:szCs w:val="30"/>
        </w:rPr>
        <w:t xml:space="preserve"> года</w:t>
      </w:r>
      <w:r w:rsidRPr="00C87B1D">
        <w:rPr>
          <w:rFonts w:ascii="Times New Roman" w:hAnsi="Times New Roman" w:cs="Times New Roman"/>
          <w:sz w:val="30"/>
          <w:szCs w:val="30"/>
        </w:rPr>
        <w:tab/>
      </w:r>
      <w:r w:rsidRPr="00C87B1D">
        <w:rPr>
          <w:rFonts w:ascii="Times New Roman" w:hAnsi="Times New Roman" w:cs="Times New Roman"/>
          <w:sz w:val="30"/>
          <w:szCs w:val="30"/>
        </w:rPr>
        <w:tab/>
        <w:t xml:space="preserve">                                                               </w:t>
      </w:r>
      <w:proofErr w:type="spellStart"/>
      <w:r w:rsidRPr="00C87B1D">
        <w:rPr>
          <w:rFonts w:ascii="Times New Roman" w:hAnsi="Times New Roman" w:cs="Times New Roman"/>
          <w:sz w:val="30"/>
          <w:szCs w:val="30"/>
        </w:rPr>
        <w:t>г.Вилейка</w:t>
      </w:r>
      <w:proofErr w:type="spellEnd"/>
    </w:p>
    <w:p w:rsidR="00C87B1D" w:rsidRPr="00C87B1D" w:rsidRDefault="00C87B1D" w:rsidP="00C87B1D">
      <w:pPr>
        <w:rPr>
          <w:rFonts w:ascii="Times New Roman" w:hAnsi="Times New Roman" w:cs="Times New Roman"/>
          <w:sz w:val="30"/>
          <w:szCs w:val="30"/>
        </w:rPr>
      </w:pPr>
    </w:p>
    <w:p w:rsidR="00C87B1D" w:rsidRDefault="00C87B1D" w:rsidP="00C87B1D">
      <w:pPr>
        <w:tabs>
          <w:tab w:val="left" w:pos="3544"/>
        </w:tabs>
        <w:rPr>
          <w:rFonts w:ascii="Times New Roman" w:hAnsi="Times New Roman" w:cs="Times New Roman"/>
          <w:b/>
          <w:sz w:val="30"/>
          <w:szCs w:val="30"/>
        </w:rPr>
      </w:pPr>
    </w:p>
    <w:p w:rsidR="00C87B1D" w:rsidRPr="009D1A1F" w:rsidRDefault="00C87B1D" w:rsidP="00C87B1D">
      <w:pPr>
        <w:tabs>
          <w:tab w:val="left" w:pos="3544"/>
        </w:tabs>
        <w:rPr>
          <w:rFonts w:ascii="Times New Roman" w:hAnsi="Times New Roman" w:cs="Times New Roman"/>
          <w:sz w:val="30"/>
          <w:szCs w:val="30"/>
        </w:rPr>
      </w:pPr>
      <w:r w:rsidRPr="009D1A1F">
        <w:rPr>
          <w:rFonts w:ascii="Times New Roman" w:hAnsi="Times New Roman" w:cs="Times New Roman"/>
          <w:b/>
          <w:sz w:val="30"/>
          <w:szCs w:val="30"/>
        </w:rPr>
        <w:t>Повестка дня:</w:t>
      </w:r>
    </w:p>
    <w:p w:rsidR="00C87B1D" w:rsidRPr="009D1A1F" w:rsidRDefault="00DF65F9" w:rsidP="00C87B1D">
      <w:pPr>
        <w:rPr>
          <w:rFonts w:ascii="Times New Roman" w:hAnsi="Times New Roman" w:cs="Times New Roman"/>
          <w:sz w:val="30"/>
          <w:szCs w:val="30"/>
        </w:rPr>
      </w:pPr>
      <w:r>
        <w:rPr>
          <w:rFonts w:ascii="Times New Roman" w:hAnsi="Times New Roman" w:cs="Times New Roman"/>
          <w:sz w:val="30"/>
          <w:szCs w:val="30"/>
        </w:rPr>
        <w:t>Об изменении законодательства</w:t>
      </w:r>
    </w:p>
    <w:p w:rsidR="00C87B1D" w:rsidRDefault="00C87B1D" w:rsidP="00C87B1D">
      <w:pPr>
        <w:tabs>
          <w:tab w:val="left" w:pos="3544"/>
        </w:tabs>
        <w:rPr>
          <w:rFonts w:ascii="Times New Roman" w:hAnsi="Times New Roman" w:cs="Times New Roman"/>
          <w:b/>
          <w:sz w:val="30"/>
          <w:szCs w:val="30"/>
        </w:rPr>
      </w:pPr>
    </w:p>
    <w:p w:rsidR="00EA7CCD" w:rsidRPr="009D1A1F" w:rsidRDefault="00EA7CCD" w:rsidP="00C87B1D">
      <w:pPr>
        <w:tabs>
          <w:tab w:val="left" w:pos="3544"/>
        </w:tabs>
        <w:rPr>
          <w:rFonts w:ascii="Times New Roman" w:hAnsi="Times New Roman" w:cs="Times New Roman"/>
          <w:b/>
          <w:sz w:val="30"/>
          <w:szCs w:val="30"/>
        </w:rPr>
      </w:pPr>
    </w:p>
    <w:p w:rsidR="00C87B1D" w:rsidRPr="00C87B1D" w:rsidRDefault="00C87B1D" w:rsidP="00C87B1D">
      <w:pPr>
        <w:tabs>
          <w:tab w:val="left" w:pos="3544"/>
        </w:tabs>
        <w:rPr>
          <w:rFonts w:ascii="Times New Roman" w:hAnsi="Times New Roman" w:cs="Times New Roman"/>
          <w:sz w:val="30"/>
          <w:szCs w:val="30"/>
        </w:rPr>
      </w:pPr>
      <w:r w:rsidRPr="00C87B1D">
        <w:rPr>
          <w:rFonts w:ascii="Times New Roman" w:hAnsi="Times New Roman" w:cs="Times New Roman"/>
          <w:b/>
          <w:sz w:val="30"/>
          <w:szCs w:val="30"/>
        </w:rPr>
        <w:t>При</w:t>
      </w:r>
      <w:r w:rsidR="00DF65F9">
        <w:rPr>
          <w:rFonts w:ascii="Times New Roman" w:hAnsi="Times New Roman" w:cs="Times New Roman"/>
          <w:b/>
          <w:sz w:val="30"/>
          <w:szCs w:val="30"/>
        </w:rPr>
        <w:t>глашены</w:t>
      </w:r>
      <w:r w:rsidRPr="00C87B1D">
        <w:rPr>
          <w:rFonts w:ascii="Times New Roman" w:hAnsi="Times New Roman" w:cs="Times New Roman"/>
          <w:b/>
          <w:sz w:val="30"/>
          <w:szCs w:val="30"/>
        </w:rPr>
        <w:t>:</w:t>
      </w:r>
    </w:p>
    <w:p w:rsidR="00F02047" w:rsidRDefault="00DF65F9" w:rsidP="00BC7CA5">
      <w:pPr>
        <w:shd w:val="clear" w:color="auto" w:fill="FFFFFF"/>
        <w:jc w:val="both"/>
        <w:textAlignment w:val="baseline"/>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Члены </w:t>
      </w:r>
      <w:r w:rsidR="00BC7CA5">
        <w:rPr>
          <w:rFonts w:ascii="Times New Roman" w:hAnsi="Times New Roman" w:cs="Times New Roman"/>
          <w:sz w:val="30"/>
          <w:szCs w:val="30"/>
          <w:shd w:val="clear" w:color="auto" w:fill="FFFFFF"/>
        </w:rPr>
        <w:t>районного Совета по р</w:t>
      </w:r>
      <w:r w:rsidR="00CE2906">
        <w:rPr>
          <w:rFonts w:ascii="Times New Roman" w:hAnsi="Times New Roman" w:cs="Times New Roman"/>
          <w:sz w:val="30"/>
          <w:szCs w:val="30"/>
          <w:shd w:val="clear" w:color="auto" w:fill="FFFFFF"/>
        </w:rPr>
        <w:t>азвитию предпринимательства при </w:t>
      </w:r>
      <w:proofErr w:type="spellStart"/>
      <w:r w:rsidR="00BC7CA5">
        <w:rPr>
          <w:rFonts w:ascii="Times New Roman" w:hAnsi="Times New Roman" w:cs="Times New Roman"/>
          <w:sz w:val="30"/>
          <w:szCs w:val="30"/>
          <w:shd w:val="clear" w:color="auto" w:fill="FFFFFF"/>
        </w:rPr>
        <w:t>Вилейском</w:t>
      </w:r>
      <w:proofErr w:type="spellEnd"/>
      <w:r w:rsidR="00BC7CA5">
        <w:rPr>
          <w:rFonts w:ascii="Times New Roman" w:hAnsi="Times New Roman" w:cs="Times New Roman"/>
          <w:sz w:val="30"/>
          <w:szCs w:val="30"/>
          <w:shd w:val="clear" w:color="auto" w:fill="FFFFFF"/>
        </w:rPr>
        <w:t xml:space="preserve"> районном исполнительном комитете, субъекты малого, </w:t>
      </w:r>
      <w:r w:rsidR="00BC7CA5" w:rsidRPr="00BC7CA5">
        <w:rPr>
          <w:rFonts w:ascii="Times New Roman" w:hAnsi="Times New Roman" w:cs="Times New Roman"/>
          <w:sz w:val="30"/>
          <w:szCs w:val="30"/>
          <w:shd w:val="clear" w:color="auto" w:fill="FFFFFF"/>
        </w:rPr>
        <w:t>среднего бизнеса и торговые организации района.</w:t>
      </w:r>
    </w:p>
    <w:p w:rsidR="00BC7CA5" w:rsidRDefault="00BC7CA5" w:rsidP="00BC7CA5">
      <w:pPr>
        <w:shd w:val="clear" w:color="auto" w:fill="FFFFFF"/>
        <w:jc w:val="both"/>
        <w:textAlignment w:val="baseline"/>
        <w:rPr>
          <w:rFonts w:ascii="Times New Roman" w:hAnsi="Times New Roman" w:cs="Times New Roman"/>
          <w:sz w:val="30"/>
          <w:szCs w:val="30"/>
          <w:shd w:val="clear" w:color="auto" w:fill="FFFFFF"/>
        </w:rPr>
      </w:pPr>
    </w:p>
    <w:p w:rsidR="00EA7CCD" w:rsidRPr="00BC7CA5" w:rsidRDefault="00EA7CCD" w:rsidP="00BC7CA5">
      <w:pPr>
        <w:shd w:val="clear" w:color="auto" w:fill="FFFFFF"/>
        <w:jc w:val="both"/>
        <w:textAlignment w:val="baseline"/>
        <w:rPr>
          <w:rFonts w:ascii="Times New Roman" w:hAnsi="Times New Roman" w:cs="Times New Roman"/>
          <w:sz w:val="30"/>
          <w:szCs w:val="30"/>
          <w:shd w:val="clear" w:color="auto" w:fill="FFFFFF"/>
        </w:rPr>
      </w:pPr>
    </w:p>
    <w:p w:rsidR="00BC7CA5" w:rsidRPr="00BC7CA5" w:rsidRDefault="00BC7CA5" w:rsidP="00BC7CA5">
      <w:pPr>
        <w:jc w:val="both"/>
        <w:rPr>
          <w:rFonts w:ascii="Times New Roman" w:hAnsi="Times New Roman" w:cs="Times New Roman"/>
          <w:b/>
          <w:sz w:val="30"/>
          <w:szCs w:val="30"/>
        </w:rPr>
      </w:pPr>
      <w:r w:rsidRPr="00BC7CA5">
        <w:rPr>
          <w:rFonts w:ascii="Times New Roman" w:hAnsi="Times New Roman" w:cs="Times New Roman"/>
          <w:b/>
          <w:sz w:val="30"/>
          <w:szCs w:val="30"/>
        </w:rPr>
        <w:t xml:space="preserve">СЛУШАЛИ: </w:t>
      </w:r>
    </w:p>
    <w:p w:rsidR="00BC7CA5" w:rsidRPr="00BC7CA5" w:rsidRDefault="00BC7CA5" w:rsidP="00BC7CA5">
      <w:pPr>
        <w:jc w:val="both"/>
        <w:rPr>
          <w:rFonts w:ascii="Times New Roman" w:hAnsi="Times New Roman" w:cs="Times New Roman"/>
          <w:sz w:val="30"/>
          <w:szCs w:val="30"/>
        </w:rPr>
      </w:pPr>
      <w:r>
        <w:rPr>
          <w:rFonts w:ascii="Times New Roman" w:hAnsi="Times New Roman" w:cs="Times New Roman"/>
          <w:sz w:val="30"/>
          <w:szCs w:val="30"/>
        </w:rPr>
        <w:t>Заместителя н</w:t>
      </w:r>
      <w:r w:rsidRPr="00BC7CA5">
        <w:rPr>
          <w:rFonts w:ascii="Times New Roman" w:hAnsi="Times New Roman" w:cs="Times New Roman"/>
          <w:sz w:val="30"/>
          <w:szCs w:val="30"/>
        </w:rPr>
        <w:t xml:space="preserve">ачальника </w:t>
      </w:r>
      <w:r w:rsidR="0077613B">
        <w:rPr>
          <w:rFonts w:ascii="Times New Roman" w:hAnsi="Times New Roman" w:cs="Times New Roman"/>
          <w:sz w:val="30"/>
          <w:szCs w:val="30"/>
        </w:rPr>
        <w:t xml:space="preserve">инспекции Министерства по налогам и сборам Республики Беларусь по </w:t>
      </w:r>
      <w:proofErr w:type="spellStart"/>
      <w:r w:rsidR="0077613B">
        <w:rPr>
          <w:rFonts w:ascii="Times New Roman" w:hAnsi="Times New Roman" w:cs="Times New Roman"/>
          <w:sz w:val="30"/>
          <w:szCs w:val="30"/>
        </w:rPr>
        <w:t>Вилейскому</w:t>
      </w:r>
      <w:proofErr w:type="spellEnd"/>
      <w:r w:rsidR="0077613B">
        <w:rPr>
          <w:rFonts w:ascii="Times New Roman" w:hAnsi="Times New Roman" w:cs="Times New Roman"/>
          <w:sz w:val="30"/>
          <w:szCs w:val="30"/>
        </w:rPr>
        <w:t xml:space="preserve"> району, начальник управления контрольной работы Яхимович М.Н.</w:t>
      </w:r>
      <w:r w:rsidRPr="00BC7CA5">
        <w:rPr>
          <w:rFonts w:ascii="Times New Roman" w:hAnsi="Times New Roman" w:cs="Times New Roman"/>
          <w:sz w:val="30"/>
          <w:szCs w:val="30"/>
        </w:rPr>
        <w:t xml:space="preserve">, которая информировала присутствующих </w:t>
      </w:r>
      <w:r w:rsidR="0077613B">
        <w:rPr>
          <w:rFonts w:ascii="Times New Roman" w:hAnsi="Times New Roman" w:cs="Times New Roman"/>
          <w:sz w:val="30"/>
          <w:szCs w:val="30"/>
        </w:rPr>
        <w:t>о принятом Постановлении Совета Министров Республики Беларусь и Национального б</w:t>
      </w:r>
      <w:r w:rsidR="00CE2906">
        <w:rPr>
          <w:rFonts w:ascii="Times New Roman" w:hAnsi="Times New Roman" w:cs="Times New Roman"/>
          <w:sz w:val="30"/>
          <w:szCs w:val="30"/>
        </w:rPr>
        <w:t>анка Республики Беларусь от 7 </w:t>
      </w:r>
      <w:r w:rsidR="0077613B">
        <w:rPr>
          <w:rFonts w:ascii="Times New Roman" w:hAnsi="Times New Roman" w:cs="Times New Roman"/>
          <w:sz w:val="30"/>
          <w:szCs w:val="30"/>
        </w:rPr>
        <w:t>апреля 2021 г. № 203/4 «Об изменении Постановления  Совета Министров Республики Беларусь и Национального банка Республики Беларусь от 6 июля 2011 г. №924/16»</w:t>
      </w:r>
      <w:r w:rsidR="00654B4C">
        <w:rPr>
          <w:rFonts w:ascii="Times New Roman" w:hAnsi="Times New Roman" w:cs="Times New Roman"/>
          <w:sz w:val="30"/>
          <w:szCs w:val="30"/>
        </w:rPr>
        <w:t xml:space="preserve">, а также об Указе Президента Республики Беларусь от 10 июня 2011 г. № 243 «О маркировке товаров», изложенного в новой редакции в соответствии с Указом Президента Республики Беларусь от 6 января 2021 г. № 9 </w:t>
      </w:r>
      <w:r w:rsidR="00EA7CCD">
        <w:rPr>
          <w:rFonts w:ascii="Times New Roman" w:hAnsi="Times New Roman" w:cs="Times New Roman"/>
          <w:sz w:val="30"/>
          <w:szCs w:val="30"/>
        </w:rPr>
        <w:t>(и</w:t>
      </w:r>
      <w:r w:rsidR="00654B4C">
        <w:rPr>
          <w:rFonts w:ascii="Times New Roman" w:hAnsi="Times New Roman" w:cs="Times New Roman"/>
          <w:sz w:val="30"/>
          <w:szCs w:val="30"/>
        </w:rPr>
        <w:t>нформация в </w:t>
      </w:r>
      <w:r w:rsidR="00AE593F">
        <w:rPr>
          <w:rFonts w:ascii="Times New Roman" w:hAnsi="Times New Roman" w:cs="Times New Roman"/>
          <w:sz w:val="30"/>
          <w:szCs w:val="30"/>
        </w:rPr>
        <w:t>Приложении).</w:t>
      </w:r>
    </w:p>
    <w:p w:rsidR="00147E8A" w:rsidRDefault="00147E8A" w:rsidP="00147E8A">
      <w:pPr>
        <w:ind w:firstLine="709"/>
        <w:jc w:val="both"/>
        <w:rPr>
          <w:b/>
          <w:sz w:val="30"/>
          <w:szCs w:val="30"/>
        </w:rPr>
      </w:pPr>
    </w:p>
    <w:p w:rsidR="00CE27CD" w:rsidRPr="00CE27CD" w:rsidRDefault="00CE27CD" w:rsidP="00CE27CD">
      <w:pPr>
        <w:rPr>
          <w:rFonts w:ascii="Times New Roman" w:hAnsi="Times New Roman" w:cs="Times New Roman"/>
          <w:sz w:val="30"/>
          <w:szCs w:val="30"/>
        </w:rPr>
      </w:pPr>
      <w:r w:rsidRPr="00CE27CD">
        <w:rPr>
          <w:rFonts w:ascii="Times New Roman" w:hAnsi="Times New Roman" w:cs="Times New Roman"/>
          <w:sz w:val="30"/>
          <w:szCs w:val="30"/>
        </w:rPr>
        <w:t xml:space="preserve">Председатель </w:t>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r w:rsidRPr="00CE27CD">
        <w:rPr>
          <w:rFonts w:ascii="Times New Roman" w:hAnsi="Times New Roman" w:cs="Times New Roman"/>
          <w:sz w:val="30"/>
          <w:szCs w:val="30"/>
        </w:rPr>
        <w:tab/>
      </w:r>
      <w:proofErr w:type="spellStart"/>
      <w:r w:rsidRPr="00CE27CD">
        <w:rPr>
          <w:rFonts w:ascii="Times New Roman" w:hAnsi="Times New Roman" w:cs="Times New Roman"/>
          <w:sz w:val="30"/>
          <w:szCs w:val="30"/>
        </w:rPr>
        <w:t>М.П.Возняк</w:t>
      </w:r>
      <w:proofErr w:type="spellEnd"/>
    </w:p>
    <w:p w:rsidR="00CE27CD" w:rsidRPr="00CE27CD" w:rsidRDefault="00CE27CD" w:rsidP="00CE27CD">
      <w:pPr>
        <w:rPr>
          <w:rFonts w:ascii="Times New Roman" w:hAnsi="Times New Roman" w:cs="Times New Roman"/>
          <w:sz w:val="30"/>
          <w:szCs w:val="30"/>
        </w:rPr>
      </w:pPr>
    </w:p>
    <w:p w:rsidR="00CE27CD" w:rsidRDefault="003252A8" w:rsidP="00CE27CD">
      <w:pPr>
        <w:rPr>
          <w:rFonts w:ascii="Times New Roman" w:hAnsi="Times New Roman" w:cs="Times New Roman"/>
          <w:sz w:val="30"/>
          <w:szCs w:val="30"/>
        </w:rPr>
      </w:pPr>
      <w:r>
        <w:rPr>
          <w:rFonts w:ascii="Times New Roman" w:hAnsi="Times New Roman" w:cs="Times New Roman"/>
          <w:sz w:val="30"/>
          <w:szCs w:val="30"/>
        </w:rPr>
        <w:t>Секретарь</w:t>
      </w:r>
      <w:r>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r w:rsidR="00CE27CD" w:rsidRPr="00CE27CD">
        <w:rPr>
          <w:rFonts w:ascii="Times New Roman" w:hAnsi="Times New Roman" w:cs="Times New Roman"/>
          <w:sz w:val="30"/>
          <w:szCs w:val="30"/>
        </w:rPr>
        <w:tab/>
      </w:r>
      <w:proofErr w:type="spellStart"/>
      <w:r>
        <w:rPr>
          <w:rFonts w:ascii="Times New Roman" w:hAnsi="Times New Roman" w:cs="Times New Roman"/>
          <w:sz w:val="30"/>
          <w:szCs w:val="30"/>
        </w:rPr>
        <w:t>М.В.Шелюто</w:t>
      </w:r>
      <w:proofErr w:type="spellEnd"/>
    </w:p>
    <w:p w:rsidR="00F22590" w:rsidRDefault="00F22590" w:rsidP="00CE27CD">
      <w:pPr>
        <w:rPr>
          <w:rFonts w:ascii="Times New Roman" w:hAnsi="Times New Roman" w:cs="Times New Roman"/>
          <w:sz w:val="30"/>
          <w:szCs w:val="30"/>
        </w:rPr>
      </w:pPr>
    </w:p>
    <w:p w:rsidR="00F22590" w:rsidRDefault="00F22590" w:rsidP="00CE27CD">
      <w:pPr>
        <w:rPr>
          <w:rFonts w:ascii="Times New Roman" w:hAnsi="Times New Roman" w:cs="Times New Roman"/>
          <w:sz w:val="30"/>
          <w:szCs w:val="30"/>
        </w:rPr>
      </w:pPr>
    </w:p>
    <w:p w:rsidR="00F22590" w:rsidRDefault="00F22590" w:rsidP="00CE27CD">
      <w:pPr>
        <w:rPr>
          <w:rFonts w:ascii="Times New Roman" w:hAnsi="Times New Roman" w:cs="Times New Roman"/>
          <w:sz w:val="30"/>
          <w:szCs w:val="30"/>
        </w:rPr>
      </w:pPr>
    </w:p>
    <w:p w:rsidR="00F22590" w:rsidRDefault="00F22590" w:rsidP="00CE27CD">
      <w:pPr>
        <w:rPr>
          <w:rFonts w:ascii="Times New Roman" w:hAnsi="Times New Roman" w:cs="Times New Roman"/>
          <w:sz w:val="30"/>
          <w:szCs w:val="30"/>
        </w:rPr>
        <w:sectPr w:rsidR="00F22590" w:rsidSect="009C7400">
          <w:pgSz w:w="11906" w:h="16838"/>
          <w:pgMar w:top="1134" w:right="850" w:bottom="993" w:left="1701" w:header="708" w:footer="708" w:gutter="0"/>
          <w:cols w:space="708"/>
          <w:docGrid w:linePitch="360"/>
        </w:sectPr>
      </w:pPr>
    </w:p>
    <w:p w:rsidR="00F22590" w:rsidRDefault="00F22590" w:rsidP="00F22590">
      <w:pPr>
        <w:spacing w:after="150" w:line="270" w:lineRule="atLeast"/>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Приложение </w:t>
      </w:r>
    </w:p>
    <w:p w:rsidR="00F22590" w:rsidRDefault="00F22590" w:rsidP="00F22590">
      <w:pPr>
        <w:spacing w:after="150" w:line="27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целях расширения возможности использования дополнительных способов осуществления безналичных расчетов за приобретаемые товары (работы, услуги) и использования платежных терминалов в объектах (при осуществлении видов деятельности), указанных в Приложении 1 к Постановлению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Постановление № 924/16), расширения сферы использования кассового оборудования, обеспечивающего дифференцированный учет данных о товарах, сокращения случаев, при которых прием наличных денежных средств можно осуществлять без использования кассового оборудования, и урегулирования других вопросов принято постановление Совета Министров Республики Беларусь и Национального банка Республики Беларусь от 7 апреля 2021 г. № 203/4 «Об изменении постановления Совета Министров Республики Беларусь и Национального банка Республики Беларусь от 6 июля 2011 г. № 924/16» (далее – Постановление № 203/4).</w:t>
      </w:r>
    </w:p>
    <w:p w:rsidR="00F22590" w:rsidRDefault="00F22590" w:rsidP="00F22590">
      <w:pPr>
        <w:spacing w:after="150" w:line="27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соответствии с Постановлением № 203/4 вносятся изменения в Приложение 1 к Постановлению № 924/16:</w:t>
      </w:r>
    </w:p>
    <w:tbl>
      <w:tblPr>
        <w:tblW w:w="14602" w:type="dxa"/>
        <w:tblBorders>
          <w:top w:val="single" w:sz="6" w:space="0" w:color="D0D3D4"/>
          <w:left w:val="single" w:sz="6" w:space="0" w:color="D0D3D4"/>
          <w:bottom w:val="single" w:sz="6" w:space="0" w:color="D0D3D4"/>
          <w:right w:val="single" w:sz="6" w:space="0" w:color="D0D3D4"/>
        </w:tblBorders>
        <w:tblLook w:val="04A0" w:firstRow="1" w:lastRow="0" w:firstColumn="1" w:lastColumn="0" w:noHBand="0" w:noVBand="1"/>
      </w:tblPr>
      <w:tblGrid>
        <w:gridCol w:w="4336"/>
        <w:gridCol w:w="8634"/>
        <w:gridCol w:w="1632"/>
      </w:tblGrid>
      <w:tr w:rsidR="00F22590" w:rsidTr="00F22590">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Старая редакция Приложения 1</w:t>
            </w:r>
          </w:p>
        </w:tc>
        <w:tc>
          <w:tcPr>
            <w:tcW w:w="8634"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Новая редакция Приложения 1</w:t>
            </w:r>
          </w:p>
        </w:tc>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Вступление в силу</w:t>
            </w:r>
          </w:p>
        </w:tc>
      </w:tr>
      <w:tr w:rsidR="00F22590" w:rsidTr="00F22590">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Объекты оказания услуг, связанных с организацией охоты, проживанием в домах охотника, а также в которых осуществляется торговля пиломатериалами.</w:t>
            </w:r>
          </w:p>
        </w:tc>
        <w:tc>
          <w:tcPr>
            <w:tcW w:w="863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объекты оказания услуг, связанных с организацией охоты, </w:t>
            </w:r>
            <w:r>
              <w:rPr>
                <w:rFonts w:ascii="Times New Roman" w:eastAsia="Times New Roman" w:hAnsi="Times New Roman" w:cs="Times New Roman"/>
                <w:b/>
                <w:bCs/>
                <w:sz w:val="24"/>
                <w:szCs w:val="24"/>
                <w:lang w:eastAsia="ru-RU"/>
              </w:rPr>
              <w:t xml:space="preserve">временным проживанием охотников (дома охотника, </w:t>
            </w:r>
            <w:proofErr w:type="spellStart"/>
            <w:r>
              <w:rPr>
                <w:rFonts w:ascii="Times New Roman" w:eastAsia="Times New Roman" w:hAnsi="Times New Roman" w:cs="Times New Roman"/>
                <w:b/>
                <w:bCs/>
                <w:sz w:val="24"/>
                <w:szCs w:val="24"/>
                <w:lang w:eastAsia="ru-RU"/>
              </w:rPr>
              <w:t>агроуса</w:t>
            </w:r>
            <w:bookmarkStart w:id="0" w:name="_GoBack"/>
            <w:bookmarkEnd w:id="0"/>
            <w:r>
              <w:rPr>
                <w:rFonts w:ascii="Times New Roman" w:eastAsia="Times New Roman" w:hAnsi="Times New Roman" w:cs="Times New Roman"/>
                <w:b/>
                <w:bCs/>
                <w:sz w:val="24"/>
                <w:szCs w:val="24"/>
                <w:lang w:eastAsia="ru-RU"/>
              </w:rPr>
              <w:t>дьбы</w:t>
            </w:r>
            <w:proofErr w:type="spellEnd"/>
            <w:r>
              <w:rPr>
                <w:rFonts w:ascii="Times New Roman" w:eastAsia="Times New Roman" w:hAnsi="Times New Roman" w:cs="Times New Roman"/>
                <w:b/>
                <w:bCs/>
                <w:sz w:val="24"/>
                <w:szCs w:val="24"/>
                <w:lang w:eastAsia="ru-RU"/>
              </w:rPr>
              <w:t xml:space="preserve"> и другое)</w:t>
            </w:r>
            <w:r>
              <w:rPr>
                <w:rFonts w:ascii="Times New Roman" w:eastAsia="Times New Roman" w:hAnsi="Times New Roman" w:cs="Times New Roman"/>
                <w:sz w:val="24"/>
                <w:szCs w:val="24"/>
                <w:lang w:eastAsia="ru-RU"/>
              </w:rPr>
              <w:t>, а также в которых осуществляется торговля пиломатериалами.</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апреля 2021 года</w:t>
            </w:r>
          </w:p>
        </w:tc>
      </w:tr>
      <w:tr w:rsidR="00F22590" w:rsidTr="00F22590">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rPr>
                <w:rFonts w:ascii="Times New Roman" w:eastAsia="Times New Roman" w:hAnsi="Times New Roman" w:cs="Times New Roman"/>
                <w:sz w:val="24"/>
                <w:szCs w:val="24"/>
                <w:lang w:eastAsia="ru-RU"/>
              </w:rPr>
            </w:pPr>
          </w:p>
        </w:tc>
        <w:tc>
          <w:tcPr>
            <w:tcW w:w="863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Объекты оказания услуг, связанных с организацией рыболовства, включая подводную охоту, осуществляемого рыболовами для удовлетворения потребности в активном отдыхе и (или) получении продукции рыболовства без цели извлечения дохода»</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октября 2021 года</w:t>
            </w:r>
          </w:p>
        </w:tc>
      </w:tr>
    </w:tbl>
    <w:p w:rsidR="00F22590" w:rsidRDefault="00F22590" w:rsidP="00F22590">
      <w:pPr>
        <w:spacing w:after="150" w:line="27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 этом, постановлением № 203/4 предусмотрено, что для целей постановления № 924/16 </w:t>
      </w:r>
      <w:r>
        <w:rPr>
          <w:rFonts w:ascii="Times New Roman" w:eastAsia="Times New Roman" w:hAnsi="Times New Roman" w:cs="Times New Roman"/>
          <w:i/>
          <w:iCs/>
          <w:sz w:val="27"/>
          <w:szCs w:val="27"/>
          <w:lang w:eastAsia="ru-RU"/>
        </w:rPr>
        <w:t>под платежным терминалом</w:t>
      </w:r>
      <w:r>
        <w:rPr>
          <w:rFonts w:ascii="Times New Roman" w:eastAsia="Times New Roman" w:hAnsi="Times New Roman" w:cs="Times New Roman"/>
          <w:sz w:val="27"/>
          <w:szCs w:val="27"/>
          <w:lang w:eastAsia="ru-RU"/>
        </w:rPr>
        <w:t xml:space="preserve"> понимается программно-техническое устройство, мобильное устройство с платежным приложением, устанавливаемое в соответствии с договором </w:t>
      </w:r>
      <w:proofErr w:type="spellStart"/>
      <w:r>
        <w:rPr>
          <w:rFonts w:ascii="Times New Roman" w:eastAsia="Times New Roman" w:hAnsi="Times New Roman" w:cs="Times New Roman"/>
          <w:sz w:val="27"/>
          <w:szCs w:val="27"/>
          <w:lang w:eastAsia="ru-RU"/>
        </w:rPr>
        <w:t>эквайринга</w:t>
      </w:r>
      <w:proofErr w:type="spellEnd"/>
      <w:r>
        <w:rPr>
          <w:rFonts w:ascii="Times New Roman" w:eastAsia="Times New Roman" w:hAnsi="Times New Roman" w:cs="Times New Roman"/>
          <w:sz w:val="27"/>
          <w:szCs w:val="27"/>
          <w:lang w:eastAsia="ru-RU"/>
        </w:rPr>
        <w:t xml:space="preserve"> и предназначенное для регистрации операций при использовании </w:t>
      </w:r>
      <w:r>
        <w:rPr>
          <w:rFonts w:ascii="Times New Roman" w:eastAsia="Times New Roman" w:hAnsi="Times New Roman" w:cs="Times New Roman"/>
          <w:sz w:val="27"/>
          <w:szCs w:val="27"/>
          <w:lang w:eastAsia="ru-RU"/>
        </w:rPr>
        <w:lastRenderedPageBreak/>
        <w:t>банковских платежных карточек с последующим формированием карт-чека. Таким образом, расходы, связанные с приобретением платежных терминалов, могут быть минимизированы в случае приобретения мобильных устройств с платежным приложением.</w:t>
      </w:r>
    </w:p>
    <w:p w:rsidR="00F22590" w:rsidRDefault="00F22590" w:rsidP="00F22590">
      <w:pPr>
        <w:spacing w:after="150" w:line="27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целях обеспечения установки и использования платежных терминалов субъектам хозяйствования необходимо заблаговременно заключить договор с банком-</w:t>
      </w:r>
      <w:proofErr w:type="spellStart"/>
      <w:r>
        <w:rPr>
          <w:rFonts w:ascii="Times New Roman" w:eastAsia="Times New Roman" w:hAnsi="Times New Roman" w:cs="Times New Roman"/>
          <w:sz w:val="27"/>
          <w:szCs w:val="27"/>
          <w:lang w:eastAsia="ru-RU"/>
        </w:rPr>
        <w:t>эквайером</w:t>
      </w:r>
      <w:proofErr w:type="spellEnd"/>
      <w:r>
        <w:rPr>
          <w:rFonts w:ascii="Times New Roman" w:eastAsia="Times New Roman" w:hAnsi="Times New Roman" w:cs="Times New Roman"/>
          <w:sz w:val="27"/>
          <w:szCs w:val="27"/>
          <w:lang w:eastAsia="ru-RU"/>
        </w:rPr>
        <w:t xml:space="preserve"> и приобрести соответствующее оборудование (платежное приложение).</w:t>
      </w:r>
    </w:p>
    <w:p w:rsidR="00F22590" w:rsidRDefault="00F22590" w:rsidP="00F22590">
      <w:pPr>
        <w:spacing w:after="150" w:line="27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соответствии с Постановлением № 203/4 вносятся изменения в Положение об использовании кассового и иного оборудования при приеме средств платежа, утвержденное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Положение):</w:t>
      </w:r>
    </w:p>
    <w:tbl>
      <w:tblPr>
        <w:tblW w:w="14947" w:type="dxa"/>
        <w:tblBorders>
          <w:top w:val="single" w:sz="6" w:space="0" w:color="D0D3D4"/>
          <w:left w:val="single" w:sz="6" w:space="0" w:color="D0D3D4"/>
          <w:bottom w:val="single" w:sz="6" w:space="0" w:color="D0D3D4"/>
          <w:right w:val="single" w:sz="6" w:space="0" w:color="D0D3D4"/>
        </w:tblBorders>
        <w:tblLook w:val="04A0" w:firstRow="1" w:lastRow="0" w:firstColumn="1" w:lastColumn="0" w:noHBand="0" w:noVBand="1"/>
      </w:tblPr>
      <w:tblGrid>
        <w:gridCol w:w="7363"/>
        <w:gridCol w:w="5954"/>
        <w:gridCol w:w="1591"/>
        <w:gridCol w:w="39"/>
      </w:tblGrid>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Старая редакция Положения</w:t>
            </w:r>
          </w:p>
        </w:tc>
        <w:tc>
          <w:tcPr>
            <w:tcW w:w="5954"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Новая редакция Положения</w:t>
            </w:r>
          </w:p>
        </w:tc>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F22590" w:rsidRDefault="00F22590">
            <w:pPr>
              <w:spacing w:line="270"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Вступление в силу</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Юридические лица и индивидуальные предприниматели, осуществляющие продажу товаров в торговом объекте с торговой </w:t>
            </w:r>
            <w:r>
              <w:rPr>
                <w:rFonts w:ascii="Times New Roman" w:eastAsia="Times New Roman" w:hAnsi="Times New Roman" w:cs="Times New Roman"/>
                <w:b/>
                <w:bCs/>
                <w:sz w:val="24"/>
                <w:szCs w:val="24"/>
                <w:lang w:eastAsia="ru-RU"/>
              </w:rPr>
              <w:t>площадью 200 квадратных метров и более, за исключением объектов потребительской кооперации, расположенных в сельской местности</w:t>
            </w:r>
            <w:r>
              <w:rPr>
                <w:rFonts w:ascii="Times New Roman" w:eastAsia="Times New Roman" w:hAnsi="Times New Roman" w:cs="Times New Roman"/>
                <w:sz w:val="24"/>
                <w:szCs w:val="24"/>
                <w:lang w:eastAsia="ru-RU"/>
              </w:rPr>
              <w:t>, используют кассовый суммирующий аппарат или программную кассу, обеспечивающие дифференцированный учет данных о товарах.</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апреля 2022 года</w:t>
            </w:r>
          </w:p>
        </w:tc>
      </w:tr>
      <w:tr w:rsidR="00F22590" w:rsidTr="00F22590">
        <w:tc>
          <w:tcPr>
            <w:tcW w:w="14947" w:type="dxa"/>
            <w:gridSpan w:val="4"/>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пункту 35 Положения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w:t>
            </w:r>
            <w:r>
              <w:rPr>
                <w:rFonts w:ascii="Times New Roman" w:eastAsia="Times New Roman" w:hAnsi="Times New Roman" w:cs="Times New Roman"/>
                <w:b/>
                <w:bCs/>
                <w:i/>
                <w:iCs/>
                <w:sz w:val="24"/>
                <w:szCs w:val="24"/>
                <w:lang w:eastAsia="ru-RU"/>
              </w:rPr>
              <w:t>без применения кассового оборудования и (или) платежных терминалов</w:t>
            </w:r>
            <w:r>
              <w:rPr>
                <w:rFonts w:ascii="Times New Roman" w:eastAsia="Times New Roman" w:hAnsi="Times New Roman" w:cs="Times New Roman"/>
                <w:sz w:val="24"/>
                <w:szCs w:val="24"/>
                <w:lang w:eastAsia="ru-RU"/>
              </w:rPr>
              <w:t> в случаях:</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35.2. модернизации кассовых аппаратов для обеспечения возможности установки </w:t>
            </w:r>
            <w:hyperlink r:id="rId5" w:history="1">
              <w:r>
                <w:rPr>
                  <w:rStyle w:val="a6"/>
                  <w:rFonts w:ascii="Times New Roman" w:eastAsia="Times New Roman" w:hAnsi="Times New Roman" w:cs="Times New Roman"/>
                  <w:sz w:val="24"/>
                  <w:szCs w:val="24"/>
                </w:rPr>
                <w:t>средства</w:t>
              </w:r>
            </w:hyperlink>
            <w:r>
              <w:rPr>
                <w:rFonts w:ascii="Times New Roman" w:eastAsia="Times New Roman" w:hAnsi="Times New Roman" w:cs="Times New Roman"/>
                <w:sz w:val="24"/>
                <w:szCs w:val="24"/>
                <w:lang w:eastAsia="ru-RU"/>
              </w:rPr>
              <w:t> контроля налоговых органов при невозможности его замены на исправные кассовые аппараты;</w:t>
            </w:r>
          </w:p>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35.14. осуществления обучения несовершеннолетних;</w:t>
            </w:r>
          </w:p>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подпункты 35.2, 35.3, 35.14 и 35.21 исключаются</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октября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осуществления розничной торговли на торговых местах на рынках (за исключением продажи запасных частей к автомобилям) и ярмарках;</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осуществление розничной торговли </w:t>
            </w:r>
            <w:r>
              <w:rPr>
                <w:rFonts w:ascii="Times New Roman" w:eastAsia="Times New Roman" w:hAnsi="Times New Roman" w:cs="Times New Roman"/>
                <w:b/>
                <w:bCs/>
                <w:sz w:val="24"/>
                <w:szCs w:val="24"/>
                <w:lang w:eastAsia="ru-RU"/>
              </w:rPr>
              <w:t>продовольственными товарами</w:t>
            </w:r>
            <w:r>
              <w:rPr>
                <w:rFonts w:ascii="Times New Roman" w:eastAsia="Times New Roman" w:hAnsi="Times New Roman" w:cs="Times New Roman"/>
                <w:sz w:val="24"/>
                <w:szCs w:val="24"/>
                <w:lang w:eastAsia="ru-RU"/>
              </w:rPr>
              <w:t>, в том числе сельскохозяйственной продукцией, на ярмарках, на торговых местах;</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октября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 осуществления разносной торговли товарами;</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 осуществления разносной торговли </w:t>
            </w:r>
            <w:r>
              <w:rPr>
                <w:rFonts w:ascii="Times New Roman" w:eastAsia="Times New Roman" w:hAnsi="Times New Roman" w:cs="Times New Roman"/>
                <w:b/>
                <w:bCs/>
                <w:sz w:val="24"/>
                <w:szCs w:val="24"/>
                <w:lang w:eastAsia="ru-RU"/>
              </w:rPr>
              <w:t>(за исключением продажи плодоовощной продукции);</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октября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w:t>
            </w:r>
            <w:r>
              <w:rPr>
                <w:rFonts w:ascii="Times New Roman" w:eastAsia="Times New Roman" w:hAnsi="Times New Roman" w:cs="Times New Roman"/>
                <w:b/>
                <w:bCs/>
                <w:sz w:val="24"/>
                <w:szCs w:val="24"/>
                <w:lang w:eastAsia="ru-RU"/>
              </w:rPr>
              <w:t>метрополитене,</w:t>
            </w:r>
            <w:r>
              <w:rPr>
                <w:rFonts w:ascii="Times New Roman" w:eastAsia="Times New Roman" w:hAnsi="Times New Roman" w:cs="Times New Roman"/>
                <w:sz w:val="24"/>
                <w:szCs w:val="24"/>
                <w:lang w:eastAsia="ru-RU"/>
              </w:rPr>
              <w:t>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w:t>
            </w:r>
            <w:r>
              <w:rPr>
                <w:rFonts w:ascii="Times New Roman" w:eastAsia="Times New Roman" w:hAnsi="Times New Roman" w:cs="Times New Roman"/>
                <w:sz w:val="24"/>
                <w:szCs w:val="24"/>
                <w:lang w:eastAsia="ru-RU"/>
              </w:rPr>
              <w:lastRenderedPageBreak/>
              <w:t>государственного объединения "Белорусская железная дорога", в пунктах их продажи;</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10 апреля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35.9. продажи в розлив безалкогольных напитков, </w:t>
            </w:r>
            <w:r>
              <w:rPr>
                <w:rFonts w:ascii="Times New Roman" w:eastAsia="Times New Roman" w:hAnsi="Times New Roman" w:cs="Times New Roman"/>
                <w:b/>
                <w:bCs/>
                <w:sz w:val="24"/>
                <w:szCs w:val="24"/>
                <w:lang w:eastAsia="ru-RU"/>
              </w:rPr>
              <w:t>пива</w:t>
            </w:r>
            <w:r>
              <w:rPr>
                <w:rFonts w:ascii="Times New Roman" w:eastAsia="Times New Roman" w:hAnsi="Times New Roman" w:cs="Times New Roman"/>
                <w:sz w:val="24"/>
                <w:szCs w:val="24"/>
                <w:lang w:eastAsia="ru-RU"/>
              </w:rPr>
              <w:t>, кваса, растительного масла (за исключением их продажи в магазинах, павильонах и объектах общественного питания), а также живой рыбы из цистерн;</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апреля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35.12. выполнения работ, оказания услуг вне постоянного места осуществления деятельности;</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35.12. выполнения работ, оказания услуг вне постоянного места осуществления деятельности </w:t>
            </w:r>
            <w:r>
              <w:rPr>
                <w:rFonts w:ascii="Times New Roman" w:eastAsia="Times New Roman" w:hAnsi="Times New Roman" w:cs="Times New Roman"/>
                <w:b/>
                <w:bCs/>
                <w:sz w:val="24"/>
                <w:szCs w:val="24"/>
                <w:lang w:eastAsia="ru-RU"/>
              </w:rPr>
              <w:t>на территории сельской местности;</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октября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w:t>
            </w:r>
            <w:r>
              <w:rPr>
                <w:rFonts w:ascii="Times New Roman" w:eastAsia="Times New Roman" w:hAnsi="Times New Roman" w:cs="Times New Roman"/>
                <w:b/>
                <w:bCs/>
                <w:sz w:val="24"/>
                <w:szCs w:val="24"/>
                <w:lang w:eastAsia="ru-RU"/>
              </w:rPr>
              <w:t>индивидуальных предпринимателей;</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апреля 2021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w:t>
            </w:r>
            <w:r>
              <w:rPr>
                <w:rFonts w:ascii="Times New Roman" w:eastAsia="Times New Roman" w:hAnsi="Times New Roman" w:cs="Times New Roman"/>
                <w:b/>
                <w:bCs/>
                <w:sz w:val="24"/>
                <w:szCs w:val="24"/>
                <w:lang w:eastAsia="ru-RU"/>
              </w:rPr>
              <w:t>одного человека</w:t>
            </w:r>
            <w:r>
              <w:rPr>
                <w:rFonts w:ascii="Times New Roman" w:eastAsia="Times New Roman" w:hAnsi="Times New Roman" w:cs="Times New Roman"/>
                <w:sz w:val="24"/>
                <w:szCs w:val="24"/>
                <w:lang w:eastAsia="ru-RU"/>
              </w:rPr>
              <w:t> в одну смену;</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апреля 2023 года</w:t>
            </w:r>
          </w:p>
        </w:tc>
      </w:tr>
      <w:tr w:rsidR="00F22590" w:rsidTr="00F22590">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w:t>
            </w:r>
            <w:r>
              <w:rPr>
                <w:rFonts w:ascii="Times New Roman" w:eastAsia="Times New Roman" w:hAnsi="Times New Roman" w:cs="Times New Roman"/>
                <w:sz w:val="24"/>
                <w:szCs w:val="24"/>
                <w:lang w:eastAsia="ru-RU"/>
              </w:rPr>
              <w:lastRenderedPageBreak/>
              <w:t>автотранспортных средств), расположенных в сельских населенных пунктах, с численностью работников </w:t>
            </w:r>
            <w:r>
              <w:rPr>
                <w:rFonts w:ascii="Times New Roman" w:eastAsia="Times New Roman" w:hAnsi="Times New Roman" w:cs="Times New Roman"/>
                <w:b/>
                <w:bCs/>
                <w:sz w:val="24"/>
                <w:szCs w:val="24"/>
                <w:lang w:eastAsia="ru-RU"/>
              </w:rPr>
              <w:t>не более трех</w:t>
            </w:r>
            <w:r>
              <w:rPr>
                <w:rFonts w:ascii="Times New Roman" w:eastAsia="Times New Roman" w:hAnsi="Times New Roman" w:cs="Times New Roman"/>
                <w:sz w:val="24"/>
                <w:szCs w:val="24"/>
                <w:lang w:eastAsia="ru-RU"/>
              </w:rPr>
              <w:t>;</w:t>
            </w:r>
          </w:p>
        </w:tc>
        <w:tc>
          <w:tcPr>
            <w:tcW w:w="5954" w:type="dxa"/>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w:t>
            </w:r>
            <w:r>
              <w:rPr>
                <w:rFonts w:ascii="Times New Roman" w:eastAsia="Times New Roman" w:hAnsi="Times New Roman" w:cs="Times New Roman"/>
                <w:sz w:val="24"/>
                <w:szCs w:val="24"/>
                <w:lang w:eastAsia="ru-RU"/>
              </w:rPr>
              <w:lastRenderedPageBreak/>
              <w:t>средств, машин и оборудования, хранения автотранспортных средств), расположенных в сельских населенных пунктах, с численностью работников </w:t>
            </w:r>
            <w:r>
              <w:rPr>
                <w:rFonts w:ascii="Times New Roman" w:eastAsia="Times New Roman" w:hAnsi="Times New Roman" w:cs="Times New Roman"/>
                <w:b/>
                <w:bCs/>
                <w:sz w:val="24"/>
                <w:szCs w:val="24"/>
                <w:lang w:eastAsia="ru-RU"/>
              </w:rPr>
              <w:t>не более одного;</w:t>
            </w:r>
          </w:p>
        </w:tc>
        <w:tc>
          <w:tcPr>
            <w:tcW w:w="0" w:type="auto"/>
            <w:tcBorders>
              <w:top w:val="single" w:sz="6" w:space="0" w:color="D0D3D4"/>
              <w:left w:val="single" w:sz="6" w:space="0" w:color="D0D3D4"/>
              <w:bottom w:val="single" w:sz="6" w:space="0" w:color="D0D3D4"/>
              <w:right w:val="single" w:sz="6" w:space="0" w:color="D0D3D4"/>
            </w:tcBorders>
            <w:tcMar>
              <w:top w:w="150" w:type="dxa"/>
              <w:left w:w="150" w:type="dxa"/>
              <w:bottom w:w="150" w:type="dxa"/>
              <w:right w:w="150" w:type="dxa"/>
            </w:tcMar>
            <w:hideMark/>
          </w:tcPr>
          <w:p w:rsidR="00F22590" w:rsidRDefault="00F22590">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10 апреля 2023 года</w:t>
            </w:r>
          </w:p>
        </w:tc>
      </w:tr>
    </w:tbl>
    <w:p w:rsidR="00F22590" w:rsidRDefault="00F22590" w:rsidP="00F22590">
      <w:pPr>
        <w:rPr>
          <w:rFonts w:ascii="Times New Roman" w:hAnsi="Times New Roman" w:cs="Times New Roman"/>
        </w:rPr>
      </w:pPr>
    </w:p>
    <w:p w:rsidR="00F22590" w:rsidRDefault="00F22590" w:rsidP="00F22590">
      <w:pPr>
        <w:ind w:firstLine="709"/>
        <w:jc w:val="both"/>
        <w:rPr>
          <w:rFonts w:ascii="Times New Roman" w:hAnsi="Times New Roman" w:cs="Times New Roman"/>
          <w:sz w:val="30"/>
          <w:szCs w:val="30"/>
        </w:rPr>
      </w:pPr>
      <w:r>
        <w:rPr>
          <w:rFonts w:ascii="Times New Roman" w:hAnsi="Times New Roman" w:cs="Times New Roman"/>
          <w:sz w:val="30"/>
          <w:szCs w:val="30"/>
        </w:rPr>
        <w:t>В соответствии с пунктом 3 Положения о маркировке товаров средствами идентификации, утвержденного Указом № 9,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обязаны использовать электронные накладные, в которых указана информация о нанесенных средствах идентификации.</w:t>
      </w:r>
    </w:p>
    <w:p w:rsidR="00F22590" w:rsidRDefault="00F22590" w:rsidP="00F22590">
      <w:pPr>
        <w:ind w:firstLine="709"/>
        <w:jc w:val="both"/>
        <w:rPr>
          <w:rFonts w:ascii="Times New Roman" w:hAnsi="Times New Roman" w:cs="Times New Roman"/>
          <w:sz w:val="30"/>
          <w:szCs w:val="30"/>
        </w:rPr>
      </w:pPr>
      <w:r>
        <w:rPr>
          <w:rFonts w:ascii="Times New Roman" w:hAnsi="Times New Roman" w:cs="Times New Roman"/>
          <w:sz w:val="30"/>
          <w:szCs w:val="30"/>
        </w:rPr>
        <w:t>С 8 июля 2021 г. предлагается введение маркировки средствами идентификации сыров и мороженного, с 1 сентября 2021 г. – молочной продукции сроком хранения свыше 40 суток и т.д. При этом отечественными молокоперерабатывающими предприятиями на молочную продукцию планируется нанесение незащищенных средств идентификации, что потребует дополнительного использования электронных накладных.</w:t>
      </w:r>
    </w:p>
    <w:p w:rsidR="00F22590" w:rsidRDefault="00F22590" w:rsidP="00F22590">
      <w:pPr>
        <w:ind w:firstLine="709"/>
        <w:jc w:val="both"/>
        <w:rPr>
          <w:rFonts w:ascii="Times New Roman" w:hAnsi="Times New Roman" w:cs="Times New Roman"/>
          <w:sz w:val="30"/>
          <w:szCs w:val="30"/>
        </w:rPr>
      </w:pPr>
    </w:p>
    <w:p w:rsidR="00F22590" w:rsidRDefault="00F22590" w:rsidP="00CE27CD">
      <w:pPr>
        <w:rPr>
          <w:rFonts w:ascii="Times New Roman" w:hAnsi="Times New Roman" w:cs="Times New Roman"/>
          <w:sz w:val="30"/>
          <w:szCs w:val="30"/>
        </w:rPr>
      </w:pPr>
    </w:p>
    <w:p w:rsidR="00F22590" w:rsidRPr="00CE27CD" w:rsidRDefault="00F22590" w:rsidP="00CE27CD">
      <w:pPr>
        <w:rPr>
          <w:rFonts w:ascii="Times New Roman" w:hAnsi="Times New Roman" w:cs="Times New Roman"/>
          <w:sz w:val="30"/>
          <w:szCs w:val="30"/>
        </w:rPr>
      </w:pPr>
    </w:p>
    <w:sectPr w:rsidR="00F22590" w:rsidRPr="00CE27CD" w:rsidSect="00F22590">
      <w:pgSz w:w="16838" w:h="11906" w:orient="landscape"/>
      <w:pgMar w:top="851" w:right="99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1E6"/>
    <w:multiLevelType w:val="hybridMultilevel"/>
    <w:tmpl w:val="90187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6B"/>
    <w:rsid w:val="00147E8A"/>
    <w:rsid w:val="0019641B"/>
    <w:rsid w:val="001F429F"/>
    <w:rsid w:val="002533FB"/>
    <w:rsid w:val="002A5FED"/>
    <w:rsid w:val="003252A8"/>
    <w:rsid w:val="003C3EA5"/>
    <w:rsid w:val="00442FBD"/>
    <w:rsid w:val="00654B4C"/>
    <w:rsid w:val="00672227"/>
    <w:rsid w:val="0067622B"/>
    <w:rsid w:val="00681F08"/>
    <w:rsid w:val="007361E7"/>
    <w:rsid w:val="0077613B"/>
    <w:rsid w:val="00782CA8"/>
    <w:rsid w:val="007A72FD"/>
    <w:rsid w:val="007E714F"/>
    <w:rsid w:val="007F7522"/>
    <w:rsid w:val="008D7E63"/>
    <w:rsid w:val="008F6843"/>
    <w:rsid w:val="00975CEC"/>
    <w:rsid w:val="009C7400"/>
    <w:rsid w:val="009D1A1F"/>
    <w:rsid w:val="00A759B5"/>
    <w:rsid w:val="00AC166B"/>
    <w:rsid w:val="00AC6791"/>
    <w:rsid w:val="00AE593F"/>
    <w:rsid w:val="00B65311"/>
    <w:rsid w:val="00B93321"/>
    <w:rsid w:val="00BC7CA5"/>
    <w:rsid w:val="00C147F3"/>
    <w:rsid w:val="00C477EA"/>
    <w:rsid w:val="00C85C17"/>
    <w:rsid w:val="00C87B1D"/>
    <w:rsid w:val="00CB31E6"/>
    <w:rsid w:val="00CE27CD"/>
    <w:rsid w:val="00CE2906"/>
    <w:rsid w:val="00CF33AD"/>
    <w:rsid w:val="00D826E1"/>
    <w:rsid w:val="00DF65F9"/>
    <w:rsid w:val="00EA7CCD"/>
    <w:rsid w:val="00ED2B63"/>
    <w:rsid w:val="00F02047"/>
    <w:rsid w:val="00F22590"/>
    <w:rsid w:val="00F43BF7"/>
    <w:rsid w:val="00F456DE"/>
    <w:rsid w:val="00F50A59"/>
    <w:rsid w:val="00F7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FCC8"/>
  <w15:docId w15:val="{8EBB7E93-C052-480F-91B6-2F81A85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91"/>
    <w:rPr>
      <w:rFonts w:cs="Calibri"/>
      <w:sz w:val="22"/>
      <w:szCs w:val="22"/>
      <w:lang w:eastAsia="en-US"/>
    </w:rPr>
  </w:style>
  <w:style w:type="paragraph" w:styleId="1">
    <w:name w:val="heading 1"/>
    <w:basedOn w:val="a"/>
    <w:link w:val="10"/>
    <w:uiPriority w:val="9"/>
    <w:qFormat/>
    <w:locked/>
    <w:rsid w:val="003C3EA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C6791"/>
    <w:pPr>
      <w:spacing w:before="240" w:after="60"/>
      <w:jc w:val="center"/>
      <w:outlineLvl w:val="0"/>
    </w:pPr>
    <w:rPr>
      <w:rFonts w:ascii="Cambria" w:hAnsi="Cambria" w:cs="Times New Roman"/>
      <w:b/>
      <w:bCs/>
      <w:kern w:val="28"/>
      <w:sz w:val="32"/>
      <w:szCs w:val="32"/>
      <w:lang w:eastAsia="ru-RU"/>
    </w:rPr>
  </w:style>
  <w:style w:type="character" w:customStyle="1" w:styleId="a4">
    <w:name w:val="Заголовок Знак"/>
    <w:link w:val="a3"/>
    <w:uiPriority w:val="99"/>
    <w:rsid w:val="00AC6791"/>
    <w:rPr>
      <w:rFonts w:ascii="Cambria" w:hAnsi="Cambria" w:cs="Cambria"/>
      <w:b/>
      <w:bCs/>
      <w:kern w:val="28"/>
      <w:sz w:val="32"/>
      <w:szCs w:val="32"/>
      <w:lang w:eastAsia="ru-RU"/>
    </w:rPr>
  </w:style>
  <w:style w:type="paragraph" w:styleId="a5">
    <w:name w:val="Normal (Web)"/>
    <w:basedOn w:val="a"/>
    <w:uiPriority w:val="99"/>
    <w:semiHidden/>
    <w:unhideWhenUsed/>
    <w:rsid w:val="00AC166B"/>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166B"/>
    <w:rPr>
      <w:color w:val="0000FF"/>
      <w:u w:val="single"/>
    </w:rPr>
  </w:style>
  <w:style w:type="paragraph" w:styleId="a7">
    <w:name w:val="Balloon Text"/>
    <w:basedOn w:val="a"/>
    <w:link w:val="a8"/>
    <w:uiPriority w:val="99"/>
    <w:semiHidden/>
    <w:unhideWhenUsed/>
    <w:rsid w:val="00AC166B"/>
    <w:rPr>
      <w:rFonts w:ascii="Tahoma" w:hAnsi="Tahoma" w:cs="Tahoma"/>
      <w:sz w:val="16"/>
      <w:szCs w:val="16"/>
    </w:rPr>
  </w:style>
  <w:style w:type="character" w:customStyle="1" w:styleId="a8">
    <w:name w:val="Текст выноски Знак"/>
    <w:basedOn w:val="a0"/>
    <w:link w:val="a7"/>
    <w:uiPriority w:val="99"/>
    <w:semiHidden/>
    <w:rsid w:val="00AC166B"/>
    <w:rPr>
      <w:rFonts w:ascii="Tahoma" w:hAnsi="Tahoma" w:cs="Tahoma"/>
      <w:sz w:val="16"/>
      <w:szCs w:val="16"/>
      <w:lang w:eastAsia="en-US"/>
    </w:rPr>
  </w:style>
  <w:style w:type="character" w:customStyle="1" w:styleId="10">
    <w:name w:val="Заголовок 1 Знак"/>
    <w:basedOn w:val="a0"/>
    <w:link w:val="1"/>
    <w:uiPriority w:val="9"/>
    <w:rsid w:val="003C3EA5"/>
    <w:rPr>
      <w:rFonts w:ascii="Times New Roman" w:eastAsia="Times New Roman" w:hAnsi="Times New Roman"/>
      <w:b/>
      <w:bCs/>
      <w:kern w:val="36"/>
      <w:sz w:val="48"/>
      <w:szCs w:val="48"/>
    </w:rPr>
  </w:style>
  <w:style w:type="character" w:styleId="a9">
    <w:name w:val="Strong"/>
    <w:basedOn w:val="a0"/>
    <w:uiPriority w:val="22"/>
    <w:qFormat/>
    <w:locked/>
    <w:rsid w:val="003C3EA5"/>
    <w:rPr>
      <w:b/>
      <w:bCs/>
    </w:rPr>
  </w:style>
  <w:style w:type="paragraph" w:customStyle="1" w:styleId="11">
    <w:name w:val="Название1"/>
    <w:basedOn w:val="a"/>
    <w:rsid w:val="00147E8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8660">
      <w:bodyDiv w:val="1"/>
      <w:marLeft w:val="0"/>
      <w:marRight w:val="0"/>
      <w:marTop w:val="0"/>
      <w:marBottom w:val="0"/>
      <w:divBdr>
        <w:top w:val="none" w:sz="0" w:space="0" w:color="auto"/>
        <w:left w:val="none" w:sz="0" w:space="0" w:color="auto"/>
        <w:bottom w:val="none" w:sz="0" w:space="0" w:color="auto"/>
        <w:right w:val="none" w:sz="0" w:space="0" w:color="auto"/>
      </w:divBdr>
    </w:div>
    <w:div w:id="335501333">
      <w:bodyDiv w:val="1"/>
      <w:marLeft w:val="0"/>
      <w:marRight w:val="0"/>
      <w:marTop w:val="0"/>
      <w:marBottom w:val="0"/>
      <w:divBdr>
        <w:top w:val="none" w:sz="0" w:space="0" w:color="auto"/>
        <w:left w:val="none" w:sz="0" w:space="0" w:color="auto"/>
        <w:bottom w:val="none" w:sz="0" w:space="0" w:color="auto"/>
        <w:right w:val="none" w:sz="0" w:space="0" w:color="auto"/>
      </w:divBdr>
    </w:div>
    <w:div w:id="483131636">
      <w:bodyDiv w:val="1"/>
      <w:marLeft w:val="0"/>
      <w:marRight w:val="0"/>
      <w:marTop w:val="0"/>
      <w:marBottom w:val="0"/>
      <w:divBdr>
        <w:top w:val="none" w:sz="0" w:space="0" w:color="auto"/>
        <w:left w:val="none" w:sz="0" w:space="0" w:color="auto"/>
        <w:bottom w:val="none" w:sz="0" w:space="0" w:color="auto"/>
        <w:right w:val="none" w:sz="0" w:space="0" w:color="auto"/>
      </w:divBdr>
      <w:divsChild>
        <w:div w:id="227422658">
          <w:marLeft w:val="0"/>
          <w:marRight w:val="0"/>
          <w:marTop w:val="167"/>
          <w:marBottom w:val="167"/>
          <w:divBdr>
            <w:top w:val="none" w:sz="0" w:space="0" w:color="auto"/>
            <w:left w:val="none" w:sz="0" w:space="0" w:color="auto"/>
            <w:bottom w:val="none" w:sz="0" w:space="0" w:color="auto"/>
            <w:right w:val="none" w:sz="0" w:space="0" w:color="auto"/>
          </w:divBdr>
          <w:divsChild>
            <w:div w:id="525338351">
              <w:marLeft w:val="502"/>
              <w:marRight w:val="502"/>
              <w:marTop w:val="167"/>
              <w:marBottom w:val="167"/>
              <w:divBdr>
                <w:top w:val="none" w:sz="0" w:space="0" w:color="auto"/>
                <w:left w:val="none" w:sz="0" w:space="0" w:color="auto"/>
                <w:bottom w:val="none" w:sz="0" w:space="0" w:color="auto"/>
                <w:right w:val="none" w:sz="0" w:space="0" w:color="auto"/>
              </w:divBdr>
            </w:div>
          </w:divsChild>
        </w:div>
        <w:div w:id="1095787434">
          <w:marLeft w:val="0"/>
          <w:marRight w:val="335"/>
          <w:marTop w:val="0"/>
          <w:marBottom w:val="0"/>
          <w:divBdr>
            <w:top w:val="none" w:sz="0" w:space="0" w:color="auto"/>
            <w:left w:val="none" w:sz="0" w:space="0" w:color="auto"/>
            <w:bottom w:val="none" w:sz="0" w:space="0" w:color="auto"/>
            <w:right w:val="none" w:sz="0" w:space="0" w:color="auto"/>
          </w:divBdr>
          <w:divsChild>
            <w:div w:id="1105073549">
              <w:marLeft w:val="502"/>
              <w:marRight w:val="502"/>
              <w:marTop w:val="335"/>
              <w:marBottom w:val="335"/>
              <w:divBdr>
                <w:top w:val="none" w:sz="0" w:space="0" w:color="auto"/>
                <w:left w:val="none" w:sz="0" w:space="0" w:color="auto"/>
                <w:bottom w:val="none" w:sz="0" w:space="0" w:color="auto"/>
                <w:right w:val="none" w:sz="0" w:space="0" w:color="auto"/>
              </w:divBdr>
              <w:divsChild>
                <w:div w:id="9142044">
                  <w:blockQuote w:val="1"/>
                  <w:marLeft w:val="753"/>
                  <w:marRight w:val="753"/>
                  <w:marTop w:val="753"/>
                  <w:marBottom w:val="753"/>
                  <w:divBdr>
                    <w:top w:val="none" w:sz="0" w:space="0" w:color="auto"/>
                    <w:left w:val="none" w:sz="0" w:space="0" w:color="auto"/>
                    <w:bottom w:val="none" w:sz="0" w:space="0" w:color="auto"/>
                    <w:right w:val="none" w:sz="0" w:space="0" w:color="auto"/>
                  </w:divBdr>
                </w:div>
                <w:div w:id="1051535211">
                  <w:blockQuote w:val="1"/>
                  <w:marLeft w:val="753"/>
                  <w:marRight w:val="753"/>
                  <w:marTop w:val="753"/>
                  <w:marBottom w:val="753"/>
                  <w:divBdr>
                    <w:top w:val="none" w:sz="0" w:space="0" w:color="auto"/>
                    <w:left w:val="none" w:sz="0" w:space="0" w:color="auto"/>
                    <w:bottom w:val="none" w:sz="0" w:space="0" w:color="auto"/>
                    <w:right w:val="none" w:sz="0" w:space="0" w:color="auto"/>
                  </w:divBdr>
                </w:div>
                <w:div w:id="1641375059">
                  <w:blockQuote w:val="1"/>
                  <w:marLeft w:val="753"/>
                  <w:marRight w:val="753"/>
                  <w:marTop w:val="753"/>
                  <w:marBottom w:val="753"/>
                  <w:divBdr>
                    <w:top w:val="none" w:sz="0" w:space="0" w:color="auto"/>
                    <w:left w:val="none" w:sz="0" w:space="0" w:color="auto"/>
                    <w:bottom w:val="none" w:sz="0" w:space="0" w:color="auto"/>
                    <w:right w:val="none" w:sz="0" w:space="0" w:color="auto"/>
                  </w:divBdr>
                </w:div>
                <w:div w:id="2127194188">
                  <w:blockQuote w:val="1"/>
                  <w:marLeft w:val="753"/>
                  <w:marRight w:val="753"/>
                  <w:marTop w:val="753"/>
                  <w:marBottom w:val="75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DF51B3E9D5EE0AC093C1B93BE566E90C2474DF93E06F037F9E37963618DCD9C08AE95237F512A0CEA112ABF3AAB9E66B3F5D663488844DF9A4EE353AL6v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2021-05-20T09:55:00Z</cp:lastPrinted>
  <dcterms:created xsi:type="dcterms:W3CDTF">2021-05-19T09:49:00Z</dcterms:created>
  <dcterms:modified xsi:type="dcterms:W3CDTF">2021-06-09T09:05:00Z</dcterms:modified>
</cp:coreProperties>
</file>